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78" w:rsidRPr="00703137" w:rsidRDefault="001D2978" w:rsidP="001D2978">
      <w:pPr>
        <w:pStyle w:val="Default"/>
        <w:jc w:val="both"/>
        <w:rPr>
          <w:color w:val="auto"/>
          <w:lang w:val="id-ID"/>
        </w:rPr>
      </w:pPr>
      <w:r>
        <w:rPr>
          <w:color w:val="auto"/>
          <w:lang w:val="id-ID"/>
        </w:rPr>
        <w:t>SALINAN</w:t>
      </w: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r w:rsidRPr="00703137">
        <w:rPr>
          <w:color w:val="auto"/>
          <w:lang w:val="id-ID"/>
        </w:rPr>
        <w:t xml:space="preserve">PERATURAN </w:t>
      </w:r>
    </w:p>
    <w:p w:rsidR="001D2978" w:rsidRPr="00703137" w:rsidRDefault="001D2978" w:rsidP="001D2978">
      <w:pPr>
        <w:pStyle w:val="Default"/>
        <w:jc w:val="center"/>
        <w:rPr>
          <w:color w:val="auto"/>
          <w:lang w:val="id-ID"/>
        </w:rPr>
      </w:pPr>
      <w:r w:rsidRPr="00703137">
        <w:rPr>
          <w:color w:val="auto"/>
          <w:lang w:val="id-ID"/>
        </w:rPr>
        <w:t xml:space="preserve">MENTERI PENDIDIKAN NASIONAL </w:t>
      </w:r>
    </w:p>
    <w:p w:rsidR="001D2978" w:rsidRPr="00703137" w:rsidRDefault="001D2978" w:rsidP="001D2978">
      <w:pPr>
        <w:pStyle w:val="Default"/>
        <w:jc w:val="center"/>
        <w:rPr>
          <w:color w:val="auto"/>
          <w:lang w:val="id-ID"/>
        </w:rPr>
      </w:pPr>
      <w:r w:rsidRPr="00703137">
        <w:rPr>
          <w:color w:val="auto"/>
          <w:lang w:val="id-ID"/>
        </w:rPr>
        <w:t xml:space="preserve">REPUBLIK INDONESIA </w:t>
      </w: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r w:rsidRPr="00703137">
        <w:rPr>
          <w:color w:val="auto"/>
          <w:lang w:val="id-ID"/>
        </w:rPr>
        <w:t xml:space="preserve">NOMOR </w:t>
      </w:r>
      <w:r>
        <w:rPr>
          <w:color w:val="auto"/>
          <w:lang w:val="id-ID"/>
        </w:rPr>
        <w:t>20</w:t>
      </w:r>
      <w:r w:rsidRPr="00703137">
        <w:rPr>
          <w:color w:val="auto"/>
          <w:lang w:val="id-ID"/>
        </w:rPr>
        <w:t xml:space="preserve"> TAHUN 2011 </w:t>
      </w: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r w:rsidRPr="00703137">
        <w:rPr>
          <w:color w:val="auto"/>
          <w:lang w:val="id-ID"/>
        </w:rPr>
        <w:t xml:space="preserve">TENTANG </w:t>
      </w: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r w:rsidRPr="00703137">
        <w:rPr>
          <w:color w:val="auto"/>
          <w:lang w:val="id-ID"/>
        </w:rPr>
        <w:t xml:space="preserve">PENYELENGGARAAN PROGRAM STUDI </w:t>
      </w:r>
    </w:p>
    <w:p w:rsidR="001D2978" w:rsidRPr="00703137" w:rsidRDefault="001D2978" w:rsidP="001D2978">
      <w:pPr>
        <w:pStyle w:val="Default"/>
        <w:jc w:val="center"/>
        <w:rPr>
          <w:color w:val="auto"/>
          <w:lang w:val="id-ID"/>
        </w:rPr>
      </w:pPr>
      <w:r w:rsidRPr="00703137">
        <w:rPr>
          <w:color w:val="auto"/>
          <w:lang w:val="id-ID"/>
        </w:rPr>
        <w:t xml:space="preserve">DI LUAR DOMISILI PERGURUAN TINGGI </w:t>
      </w: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r w:rsidRPr="00703137">
        <w:rPr>
          <w:color w:val="auto"/>
          <w:lang w:val="id-ID"/>
        </w:rPr>
        <w:t xml:space="preserve">DENGAN RAHMAT TUHAN YANG MAHA ESA </w:t>
      </w: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r w:rsidRPr="00703137">
        <w:rPr>
          <w:color w:val="auto"/>
          <w:lang w:val="id-ID"/>
        </w:rPr>
        <w:t xml:space="preserve">MENTERI PENDIDIKAN NASIONAL, </w:t>
      </w:r>
    </w:p>
    <w:p w:rsidR="001D2978" w:rsidRPr="00703137" w:rsidRDefault="001D2978" w:rsidP="001D2978">
      <w:pPr>
        <w:pStyle w:val="Default"/>
        <w:jc w:val="center"/>
        <w:rPr>
          <w:color w:val="auto"/>
          <w:lang w:val="id-ID"/>
        </w:rPr>
      </w:pPr>
    </w:p>
    <w:tbl>
      <w:tblPr>
        <w:tblW w:w="0" w:type="auto"/>
        <w:tblLook w:val="04A0" w:firstRow="1" w:lastRow="0" w:firstColumn="1" w:lastColumn="0" w:noHBand="0" w:noVBand="1"/>
      </w:tblPr>
      <w:tblGrid>
        <w:gridCol w:w="1631"/>
        <w:gridCol w:w="283"/>
        <w:gridCol w:w="444"/>
        <w:gridCol w:w="85"/>
        <w:gridCol w:w="6717"/>
        <w:gridCol w:w="85"/>
      </w:tblGrid>
      <w:tr w:rsidR="001D2978" w:rsidRPr="00703137" w:rsidTr="00485FF3">
        <w:tc>
          <w:tcPr>
            <w:tcW w:w="1631" w:type="dxa"/>
          </w:tcPr>
          <w:p w:rsidR="001D2978" w:rsidRPr="00703137" w:rsidRDefault="001D2978" w:rsidP="00485FF3">
            <w:pPr>
              <w:pStyle w:val="Default"/>
              <w:jc w:val="both"/>
              <w:rPr>
                <w:color w:val="auto"/>
                <w:lang w:val="id-ID"/>
              </w:rPr>
            </w:pPr>
            <w:r w:rsidRPr="00703137">
              <w:rPr>
                <w:color w:val="auto"/>
                <w:lang w:val="id-ID"/>
              </w:rPr>
              <w:t>Menimbang</w:t>
            </w:r>
          </w:p>
        </w:tc>
        <w:tc>
          <w:tcPr>
            <w:tcW w:w="283" w:type="dxa"/>
          </w:tcPr>
          <w:p w:rsidR="001D2978" w:rsidRPr="00703137" w:rsidRDefault="001D2978" w:rsidP="00485FF3">
            <w:pPr>
              <w:pStyle w:val="Default"/>
              <w:ind w:left="-101"/>
              <w:jc w:val="both"/>
              <w:rPr>
                <w:color w:val="auto"/>
                <w:lang w:val="id-ID"/>
              </w:rPr>
            </w:pPr>
            <w:r w:rsidRPr="00703137">
              <w:rPr>
                <w:color w:val="auto"/>
                <w:lang w:val="id-ID"/>
              </w:rPr>
              <w:t>:</w:t>
            </w:r>
          </w:p>
        </w:tc>
        <w:tc>
          <w:tcPr>
            <w:tcW w:w="7331" w:type="dxa"/>
            <w:gridSpan w:val="4"/>
          </w:tcPr>
          <w:p w:rsidR="001D2978" w:rsidRPr="00703137" w:rsidRDefault="001D2978" w:rsidP="00485FF3">
            <w:pPr>
              <w:pStyle w:val="Default"/>
              <w:ind w:left="-114"/>
              <w:jc w:val="both"/>
              <w:rPr>
                <w:color w:val="auto"/>
                <w:lang w:val="id-ID"/>
              </w:rPr>
            </w:pPr>
            <w:r w:rsidRPr="00703137">
              <w:rPr>
                <w:color w:val="auto"/>
                <w:lang w:val="id-ID"/>
              </w:rPr>
              <w:t>bahwa untuk melaksanakan ketentuan Pasal 89 ayat (2) Peraturan Pemerintah Nomor 17 Tahun 2010 tentang Pengelolaan dan Penyelenggaraan Pendidikan sebagaimana telah diubah dengan Peraturan Pemerintah Nomor 66 Tahun 2010 tentang Perubahan Atas Peraturan Pemerintah Nomor 17 Tahun 2010 Tentang Pengelolaan dan Penyelenggaraan Pendidikan, perlu menetapkan Peraturan Menteri Pendidikan Nasional tentang Penyelenggaraan Program Studi di Luar Domisili Perguruan Tinggi;</w:t>
            </w:r>
          </w:p>
        </w:tc>
      </w:tr>
      <w:tr w:rsidR="001D2978" w:rsidRPr="00703137" w:rsidTr="00485FF3">
        <w:tc>
          <w:tcPr>
            <w:tcW w:w="1631" w:type="dxa"/>
          </w:tcPr>
          <w:p w:rsidR="001D2978" w:rsidRPr="00703137" w:rsidRDefault="001D2978" w:rsidP="00485FF3">
            <w:pPr>
              <w:pStyle w:val="Default"/>
              <w:jc w:val="both"/>
              <w:rPr>
                <w:color w:val="auto"/>
                <w:lang w:val="id-ID"/>
              </w:rPr>
            </w:pPr>
          </w:p>
        </w:tc>
        <w:tc>
          <w:tcPr>
            <w:tcW w:w="283" w:type="dxa"/>
          </w:tcPr>
          <w:p w:rsidR="001D2978" w:rsidRPr="00703137" w:rsidRDefault="001D2978" w:rsidP="00485FF3">
            <w:pPr>
              <w:pStyle w:val="Default"/>
              <w:jc w:val="both"/>
              <w:rPr>
                <w:color w:val="auto"/>
                <w:lang w:val="id-ID"/>
              </w:rPr>
            </w:pPr>
          </w:p>
        </w:tc>
        <w:tc>
          <w:tcPr>
            <w:tcW w:w="529" w:type="dxa"/>
            <w:gridSpan w:val="2"/>
          </w:tcPr>
          <w:p w:rsidR="001D2978" w:rsidRPr="00703137" w:rsidRDefault="001D2978" w:rsidP="00485FF3">
            <w:pPr>
              <w:pStyle w:val="Default"/>
              <w:jc w:val="both"/>
              <w:rPr>
                <w:color w:val="auto"/>
                <w:lang w:val="id-ID"/>
              </w:rPr>
            </w:pPr>
          </w:p>
        </w:tc>
        <w:tc>
          <w:tcPr>
            <w:tcW w:w="6802" w:type="dxa"/>
            <w:gridSpan w:val="2"/>
          </w:tcPr>
          <w:p w:rsidR="001D2978" w:rsidRPr="00703137" w:rsidRDefault="001D2978" w:rsidP="00485FF3">
            <w:pPr>
              <w:pStyle w:val="Default"/>
              <w:jc w:val="both"/>
              <w:rPr>
                <w:color w:val="auto"/>
                <w:lang w:val="id-ID"/>
              </w:rPr>
            </w:pPr>
          </w:p>
        </w:tc>
      </w:tr>
      <w:tr w:rsidR="001D2978" w:rsidRPr="00703137" w:rsidTr="00485FF3">
        <w:trPr>
          <w:gridAfter w:val="1"/>
          <w:wAfter w:w="85" w:type="dxa"/>
        </w:trPr>
        <w:tc>
          <w:tcPr>
            <w:tcW w:w="1631" w:type="dxa"/>
          </w:tcPr>
          <w:p w:rsidR="001D2978" w:rsidRPr="00703137" w:rsidRDefault="001D2978" w:rsidP="00485FF3">
            <w:pPr>
              <w:pStyle w:val="Default"/>
              <w:jc w:val="both"/>
              <w:rPr>
                <w:color w:val="auto"/>
                <w:lang w:val="id-ID"/>
              </w:rPr>
            </w:pPr>
            <w:r w:rsidRPr="00703137">
              <w:rPr>
                <w:color w:val="auto"/>
                <w:lang w:val="id-ID"/>
              </w:rPr>
              <w:t>Mengingat</w:t>
            </w:r>
          </w:p>
        </w:tc>
        <w:tc>
          <w:tcPr>
            <w:tcW w:w="283" w:type="dxa"/>
          </w:tcPr>
          <w:p w:rsidR="001D2978" w:rsidRPr="00703137" w:rsidRDefault="001D2978" w:rsidP="00485FF3">
            <w:pPr>
              <w:pStyle w:val="Default"/>
              <w:ind w:left="-101"/>
              <w:jc w:val="both"/>
              <w:rPr>
                <w:color w:val="auto"/>
                <w:lang w:val="id-ID"/>
              </w:rPr>
            </w:pPr>
            <w:r w:rsidRPr="00703137">
              <w:rPr>
                <w:color w:val="auto"/>
                <w:lang w:val="id-ID"/>
              </w:rPr>
              <w:t>:</w:t>
            </w:r>
          </w:p>
        </w:tc>
        <w:tc>
          <w:tcPr>
            <w:tcW w:w="444" w:type="dxa"/>
          </w:tcPr>
          <w:p w:rsidR="001D2978" w:rsidRPr="00703137" w:rsidRDefault="001D2978" w:rsidP="00485FF3">
            <w:pPr>
              <w:pStyle w:val="Default"/>
              <w:ind w:left="-114"/>
              <w:jc w:val="both"/>
              <w:rPr>
                <w:color w:val="auto"/>
                <w:lang w:val="id-ID"/>
              </w:rPr>
            </w:pPr>
            <w:r w:rsidRPr="00703137">
              <w:rPr>
                <w:color w:val="auto"/>
                <w:lang w:val="id-ID"/>
              </w:rPr>
              <w:t>1.</w:t>
            </w:r>
          </w:p>
        </w:tc>
        <w:tc>
          <w:tcPr>
            <w:tcW w:w="6802" w:type="dxa"/>
            <w:gridSpan w:val="2"/>
          </w:tcPr>
          <w:p w:rsidR="001D2978" w:rsidRPr="00703137" w:rsidRDefault="001D2978" w:rsidP="00485FF3">
            <w:pPr>
              <w:pStyle w:val="Default"/>
              <w:ind w:left="-108"/>
              <w:jc w:val="both"/>
              <w:rPr>
                <w:color w:val="auto"/>
                <w:lang w:val="id-ID"/>
              </w:rPr>
            </w:pPr>
            <w:r w:rsidRPr="00703137">
              <w:rPr>
                <w:color w:val="auto"/>
                <w:lang w:val="id-ID"/>
              </w:rPr>
              <w:t>Undang-Undang Nomor 20 Tahun 2003 tentang Sistem Pendidikan Nasional (Lembaran Negara Republik Indonesia Tahun 2003 Nomor 78, Tambahan Lembaran Negara Republik Indonesia Nomor 4301);</w:t>
            </w:r>
          </w:p>
        </w:tc>
      </w:tr>
      <w:tr w:rsidR="001D2978" w:rsidRPr="00703137" w:rsidTr="00485FF3">
        <w:trPr>
          <w:gridAfter w:val="1"/>
          <w:wAfter w:w="85" w:type="dxa"/>
        </w:trPr>
        <w:tc>
          <w:tcPr>
            <w:tcW w:w="1631" w:type="dxa"/>
          </w:tcPr>
          <w:p w:rsidR="001D2978" w:rsidRPr="00703137" w:rsidRDefault="001D2978" w:rsidP="00485FF3">
            <w:pPr>
              <w:pStyle w:val="Default"/>
              <w:jc w:val="both"/>
              <w:rPr>
                <w:color w:val="auto"/>
                <w:lang w:val="id-ID"/>
              </w:rPr>
            </w:pPr>
          </w:p>
        </w:tc>
        <w:tc>
          <w:tcPr>
            <w:tcW w:w="283" w:type="dxa"/>
          </w:tcPr>
          <w:p w:rsidR="001D2978" w:rsidRPr="00703137" w:rsidRDefault="001D2978" w:rsidP="00485FF3">
            <w:pPr>
              <w:pStyle w:val="Default"/>
              <w:jc w:val="both"/>
              <w:rPr>
                <w:color w:val="auto"/>
                <w:lang w:val="id-ID"/>
              </w:rPr>
            </w:pPr>
          </w:p>
        </w:tc>
        <w:tc>
          <w:tcPr>
            <w:tcW w:w="444" w:type="dxa"/>
          </w:tcPr>
          <w:p w:rsidR="001D2978" w:rsidRPr="00703137" w:rsidRDefault="001D2978" w:rsidP="00485FF3">
            <w:pPr>
              <w:pStyle w:val="Default"/>
              <w:ind w:left="-114"/>
              <w:jc w:val="both"/>
              <w:rPr>
                <w:color w:val="auto"/>
                <w:lang w:val="id-ID"/>
              </w:rPr>
            </w:pPr>
            <w:r w:rsidRPr="00703137">
              <w:rPr>
                <w:color w:val="auto"/>
                <w:lang w:val="id-ID"/>
              </w:rPr>
              <w:t>2.</w:t>
            </w:r>
          </w:p>
        </w:tc>
        <w:tc>
          <w:tcPr>
            <w:tcW w:w="6802" w:type="dxa"/>
            <w:gridSpan w:val="2"/>
          </w:tcPr>
          <w:p w:rsidR="001D2978" w:rsidRPr="00703137" w:rsidRDefault="001D2978" w:rsidP="00485FF3">
            <w:pPr>
              <w:pStyle w:val="Default"/>
              <w:ind w:left="-108"/>
              <w:jc w:val="both"/>
              <w:rPr>
                <w:color w:val="auto"/>
                <w:lang w:val="id-ID"/>
              </w:rPr>
            </w:pPr>
            <w:r w:rsidRPr="00703137">
              <w:rPr>
                <w:color w:val="auto"/>
                <w:lang w:val="id-ID"/>
              </w:rPr>
              <w:t>Peraturan Pemerintah Nomor 17 Tahun 2010 tentang Pengelolaan dan Penyelenggaraan Pendidikan (Lembaran Negara Republik Indonesia Tahun 2010 Nomor 23, Tambahan Lembaran Negara Republik Indonesia Nomor 5105) sebagaimana telah diubah dengan Peraturan Pemerintah Nomor 66 Tahun 2010 tentang Perubahan Atas Peraturan Pemerintah Nomor 17 Tahun 2010 Tentang Pengelolaan dan Penyelenggaraan Pendidikan (Lembaran Negara Republik Indonesia Tahun 2010 Nomor 112, Tambahan Lembaran Negara Republik Indonesia Nomor 5157);</w:t>
            </w:r>
          </w:p>
          <w:p w:rsidR="001D2978" w:rsidRPr="00703137" w:rsidRDefault="001D2978" w:rsidP="00485FF3">
            <w:pPr>
              <w:pStyle w:val="Default"/>
              <w:ind w:left="-108"/>
              <w:jc w:val="both"/>
              <w:rPr>
                <w:color w:val="auto"/>
                <w:lang w:val="id-ID"/>
              </w:rPr>
            </w:pPr>
          </w:p>
          <w:p w:rsidR="001D2978" w:rsidRDefault="001D2978" w:rsidP="00485FF3">
            <w:pPr>
              <w:pStyle w:val="Default"/>
              <w:ind w:left="-108"/>
              <w:jc w:val="both"/>
              <w:rPr>
                <w:color w:val="auto"/>
                <w:lang w:val="id-ID"/>
              </w:rPr>
            </w:pPr>
          </w:p>
          <w:p w:rsidR="001D2978" w:rsidRDefault="001D2978" w:rsidP="00485FF3">
            <w:pPr>
              <w:pStyle w:val="Default"/>
              <w:ind w:left="-108"/>
              <w:jc w:val="both"/>
              <w:rPr>
                <w:color w:val="auto"/>
                <w:lang w:val="id-ID"/>
              </w:rPr>
            </w:pPr>
          </w:p>
          <w:p w:rsidR="001D2978" w:rsidRPr="00703137" w:rsidRDefault="001D2978" w:rsidP="00485FF3">
            <w:pPr>
              <w:pStyle w:val="Default"/>
              <w:ind w:left="-108"/>
              <w:jc w:val="both"/>
              <w:rPr>
                <w:color w:val="auto"/>
                <w:lang w:val="id-ID"/>
              </w:rPr>
            </w:pPr>
          </w:p>
        </w:tc>
      </w:tr>
      <w:tr w:rsidR="001D2978" w:rsidRPr="00703137" w:rsidTr="00485FF3">
        <w:trPr>
          <w:gridAfter w:val="1"/>
          <w:wAfter w:w="85" w:type="dxa"/>
        </w:trPr>
        <w:tc>
          <w:tcPr>
            <w:tcW w:w="1631" w:type="dxa"/>
          </w:tcPr>
          <w:p w:rsidR="001D2978" w:rsidRPr="00703137" w:rsidRDefault="001D2978" w:rsidP="00485FF3">
            <w:pPr>
              <w:pStyle w:val="Default"/>
              <w:jc w:val="both"/>
              <w:rPr>
                <w:color w:val="auto"/>
                <w:lang w:val="id-ID"/>
              </w:rPr>
            </w:pPr>
          </w:p>
        </w:tc>
        <w:tc>
          <w:tcPr>
            <w:tcW w:w="283" w:type="dxa"/>
          </w:tcPr>
          <w:p w:rsidR="001D2978" w:rsidRPr="00703137" w:rsidRDefault="001D2978" w:rsidP="00485FF3">
            <w:pPr>
              <w:pStyle w:val="Default"/>
              <w:jc w:val="both"/>
              <w:rPr>
                <w:color w:val="auto"/>
                <w:lang w:val="id-ID"/>
              </w:rPr>
            </w:pPr>
          </w:p>
        </w:tc>
        <w:tc>
          <w:tcPr>
            <w:tcW w:w="444" w:type="dxa"/>
          </w:tcPr>
          <w:p w:rsidR="001D2978" w:rsidRPr="00703137" w:rsidRDefault="001D2978" w:rsidP="00485FF3">
            <w:pPr>
              <w:pStyle w:val="Default"/>
              <w:ind w:left="-114"/>
              <w:jc w:val="both"/>
              <w:rPr>
                <w:color w:val="auto"/>
                <w:lang w:val="id-ID"/>
              </w:rPr>
            </w:pPr>
            <w:r w:rsidRPr="00703137">
              <w:rPr>
                <w:color w:val="auto"/>
                <w:lang w:val="id-ID"/>
              </w:rPr>
              <w:t>3.</w:t>
            </w:r>
          </w:p>
          <w:p w:rsidR="001D2978" w:rsidRPr="00703137" w:rsidRDefault="001D2978" w:rsidP="00485FF3">
            <w:pPr>
              <w:pStyle w:val="Default"/>
              <w:ind w:left="-114"/>
              <w:jc w:val="both"/>
              <w:rPr>
                <w:color w:val="auto"/>
                <w:lang w:val="id-ID"/>
              </w:rPr>
            </w:pPr>
          </w:p>
          <w:p w:rsidR="001D2978" w:rsidRPr="00703137" w:rsidRDefault="001D2978" w:rsidP="00485FF3">
            <w:pPr>
              <w:pStyle w:val="Default"/>
              <w:ind w:left="-114"/>
              <w:jc w:val="both"/>
              <w:rPr>
                <w:color w:val="auto"/>
                <w:lang w:val="id-ID"/>
              </w:rPr>
            </w:pPr>
            <w:r w:rsidRPr="00703137">
              <w:rPr>
                <w:color w:val="auto"/>
                <w:lang w:val="id-ID"/>
              </w:rPr>
              <w:t>4.</w:t>
            </w:r>
          </w:p>
          <w:p w:rsidR="001D2978" w:rsidRPr="00703137" w:rsidRDefault="001D2978" w:rsidP="00485FF3">
            <w:pPr>
              <w:pStyle w:val="Default"/>
              <w:ind w:left="-114"/>
              <w:jc w:val="both"/>
              <w:rPr>
                <w:color w:val="auto"/>
                <w:lang w:val="id-ID"/>
              </w:rPr>
            </w:pPr>
          </w:p>
          <w:p w:rsidR="001D2978" w:rsidRPr="00703137" w:rsidRDefault="001D2978" w:rsidP="00485FF3">
            <w:pPr>
              <w:pStyle w:val="Default"/>
              <w:ind w:left="-114"/>
              <w:jc w:val="both"/>
              <w:rPr>
                <w:color w:val="auto"/>
                <w:lang w:val="id-ID"/>
              </w:rPr>
            </w:pPr>
          </w:p>
          <w:p w:rsidR="001D2978" w:rsidRPr="00703137" w:rsidRDefault="001D2978" w:rsidP="00485FF3">
            <w:pPr>
              <w:pStyle w:val="Default"/>
              <w:ind w:left="-114"/>
              <w:jc w:val="both"/>
              <w:rPr>
                <w:color w:val="auto"/>
                <w:lang w:val="id-ID"/>
              </w:rPr>
            </w:pPr>
          </w:p>
          <w:p w:rsidR="001D2978" w:rsidRPr="00703137" w:rsidRDefault="001D2978" w:rsidP="00485FF3">
            <w:pPr>
              <w:pStyle w:val="Default"/>
              <w:ind w:left="-114"/>
              <w:jc w:val="both"/>
              <w:rPr>
                <w:color w:val="auto"/>
                <w:lang w:val="id-ID"/>
              </w:rPr>
            </w:pPr>
          </w:p>
          <w:p w:rsidR="001D2978" w:rsidRPr="00703137" w:rsidRDefault="001D2978" w:rsidP="00485FF3">
            <w:pPr>
              <w:pStyle w:val="Default"/>
              <w:ind w:left="-114"/>
              <w:jc w:val="both"/>
              <w:rPr>
                <w:color w:val="auto"/>
                <w:lang w:val="id-ID"/>
              </w:rPr>
            </w:pPr>
          </w:p>
          <w:p w:rsidR="001D2978" w:rsidRPr="00703137" w:rsidRDefault="001D2978" w:rsidP="00485FF3">
            <w:pPr>
              <w:pStyle w:val="Default"/>
              <w:ind w:left="-114"/>
              <w:jc w:val="both"/>
              <w:rPr>
                <w:color w:val="auto"/>
                <w:lang w:val="id-ID"/>
              </w:rPr>
            </w:pPr>
          </w:p>
          <w:p w:rsidR="001D2978" w:rsidRPr="00703137" w:rsidRDefault="001D2978" w:rsidP="00485FF3">
            <w:pPr>
              <w:pStyle w:val="Default"/>
              <w:ind w:left="-114"/>
              <w:jc w:val="both"/>
              <w:rPr>
                <w:color w:val="auto"/>
                <w:lang w:val="id-ID"/>
              </w:rPr>
            </w:pPr>
          </w:p>
          <w:p w:rsidR="001D2978" w:rsidRPr="00703137" w:rsidRDefault="001D2978" w:rsidP="00485FF3">
            <w:pPr>
              <w:pStyle w:val="Default"/>
              <w:ind w:left="-114"/>
              <w:jc w:val="both"/>
              <w:rPr>
                <w:color w:val="auto"/>
                <w:lang w:val="id-ID"/>
              </w:rPr>
            </w:pPr>
            <w:r w:rsidRPr="00703137">
              <w:rPr>
                <w:color w:val="auto"/>
                <w:lang w:val="id-ID"/>
              </w:rPr>
              <w:t>5.</w:t>
            </w:r>
          </w:p>
          <w:p w:rsidR="001D2978" w:rsidRPr="00703137" w:rsidRDefault="001D2978" w:rsidP="00485FF3">
            <w:pPr>
              <w:pStyle w:val="Default"/>
              <w:ind w:left="-114"/>
              <w:jc w:val="both"/>
              <w:rPr>
                <w:color w:val="auto"/>
                <w:lang w:val="id-ID"/>
              </w:rPr>
            </w:pPr>
          </w:p>
        </w:tc>
        <w:tc>
          <w:tcPr>
            <w:tcW w:w="6802" w:type="dxa"/>
            <w:gridSpan w:val="2"/>
          </w:tcPr>
          <w:p w:rsidR="001D2978" w:rsidRPr="00703137" w:rsidRDefault="001D2978" w:rsidP="00485FF3">
            <w:pPr>
              <w:pStyle w:val="Default"/>
              <w:ind w:left="-108"/>
              <w:jc w:val="both"/>
              <w:rPr>
                <w:color w:val="auto"/>
                <w:lang w:val="id-ID"/>
              </w:rPr>
            </w:pPr>
            <w:r w:rsidRPr="00703137">
              <w:rPr>
                <w:color w:val="auto"/>
                <w:lang w:val="id-ID"/>
              </w:rPr>
              <w:lastRenderedPageBreak/>
              <w:t>Peraturan Presiden Nomor 47 Tahun 2009 tentang Pembentukan dan Organisasi Kementerian Negara;</w:t>
            </w:r>
          </w:p>
          <w:p w:rsidR="001D2978" w:rsidRPr="00703137" w:rsidRDefault="001D2978" w:rsidP="00485FF3">
            <w:pPr>
              <w:pStyle w:val="Default"/>
              <w:ind w:left="-108"/>
              <w:jc w:val="both"/>
              <w:rPr>
                <w:color w:val="auto"/>
                <w:lang w:val="id-ID"/>
              </w:rPr>
            </w:pPr>
            <w:r w:rsidRPr="00703137">
              <w:rPr>
                <w:color w:val="auto"/>
                <w:lang w:val="id-ID"/>
              </w:rPr>
              <w:t xml:space="preserve">Peraturan Presiden Nomor 24 Tahun 2010 tentang </w:t>
            </w:r>
            <w:r w:rsidRPr="00703137">
              <w:rPr>
                <w:color w:val="auto"/>
                <w:lang w:val="id-ID"/>
              </w:rPr>
              <w:lastRenderedPageBreak/>
              <w:t>Kedudukan, Tugas, dan Fungsi Kementerian Negara serta Susunan Organisasi, Tugas, dan Fungsi Eselon I Kementerian Negara sebagaimana telah diubah dengan Peraturan Presiden Nomor 67 Tahun 2010 tentang Perubahan Atas Peraturan Presiden Nomor 24 Tahun 2010 tentang Kedudukan, Tugas, dan Fungsi Kementerian Negara serta Susunan Organisasi, Tugas, dan Fungsi Eselon I Kementerian Negara;</w:t>
            </w:r>
          </w:p>
          <w:p w:rsidR="001D2978" w:rsidRPr="00703137" w:rsidRDefault="001D2978" w:rsidP="00485FF3">
            <w:pPr>
              <w:pStyle w:val="Default"/>
              <w:ind w:left="-108"/>
              <w:jc w:val="both"/>
              <w:rPr>
                <w:color w:val="auto"/>
                <w:lang w:val="id-ID"/>
              </w:rPr>
            </w:pPr>
            <w:r w:rsidRPr="00703137">
              <w:rPr>
                <w:color w:val="auto"/>
                <w:lang w:val="id-ID"/>
              </w:rPr>
              <w:t>Keputusan Presiden Nomor 84/P Tahun 2009 mengenai Pembentukan Kabinet Indonesia Bersatu II;</w:t>
            </w:r>
          </w:p>
        </w:tc>
      </w:tr>
      <w:tr w:rsidR="001D2978" w:rsidRPr="00703137" w:rsidTr="00485FF3">
        <w:trPr>
          <w:gridAfter w:val="1"/>
          <w:wAfter w:w="85" w:type="dxa"/>
        </w:trPr>
        <w:tc>
          <w:tcPr>
            <w:tcW w:w="1631" w:type="dxa"/>
          </w:tcPr>
          <w:p w:rsidR="001D2978" w:rsidRPr="00703137" w:rsidRDefault="001D2978" w:rsidP="00485FF3">
            <w:pPr>
              <w:pStyle w:val="Default"/>
              <w:jc w:val="both"/>
              <w:rPr>
                <w:color w:val="auto"/>
                <w:lang w:val="id-ID"/>
              </w:rPr>
            </w:pPr>
          </w:p>
        </w:tc>
        <w:tc>
          <w:tcPr>
            <w:tcW w:w="283" w:type="dxa"/>
          </w:tcPr>
          <w:p w:rsidR="001D2978" w:rsidRPr="00703137" w:rsidRDefault="001D2978" w:rsidP="00485FF3">
            <w:pPr>
              <w:pStyle w:val="Default"/>
              <w:jc w:val="both"/>
              <w:rPr>
                <w:color w:val="auto"/>
                <w:lang w:val="id-ID"/>
              </w:rPr>
            </w:pPr>
          </w:p>
        </w:tc>
        <w:tc>
          <w:tcPr>
            <w:tcW w:w="444" w:type="dxa"/>
          </w:tcPr>
          <w:p w:rsidR="001D2978" w:rsidRPr="00703137" w:rsidRDefault="001D2978" w:rsidP="00485FF3">
            <w:pPr>
              <w:pStyle w:val="Default"/>
              <w:ind w:left="-114"/>
              <w:jc w:val="both"/>
              <w:rPr>
                <w:color w:val="auto"/>
                <w:lang w:val="id-ID"/>
              </w:rPr>
            </w:pPr>
            <w:r w:rsidRPr="00703137">
              <w:rPr>
                <w:color w:val="auto"/>
                <w:lang w:val="id-ID"/>
              </w:rPr>
              <w:t>6.</w:t>
            </w:r>
          </w:p>
        </w:tc>
        <w:tc>
          <w:tcPr>
            <w:tcW w:w="6802" w:type="dxa"/>
            <w:gridSpan w:val="2"/>
          </w:tcPr>
          <w:p w:rsidR="001D2978" w:rsidRPr="00703137" w:rsidRDefault="001D2978" w:rsidP="00485FF3">
            <w:pPr>
              <w:pStyle w:val="Default"/>
              <w:ind w:left="-108"/>
              <w:jc w:val="both"/>
              <w:rPr>
                <w:color w:val="auto"/>
                <w:lang w:val="id-ID"/>
              </w:rPr>
            </w:pPr>
            <w:r w:rsidRPr="00703137">
              <w:rPr>
                <w:color w:val="auto"/>
                <w:lang w:val="id-ID"/>
              </w:rPr>
              <w:t>Keputusan Menteri Pendidikan Nasional Nomor 234/U/2000 tentang Pedoman Pendirian Perguruan Tinggi;</w:t>
            </w:r>
          </w:p>
        </w:tc>
      </w:tr>
      <w:tr w:rsidR="001D2978" w:rsidRPr="00703137" w:rsidTr="00485FF3">
        <w:tc>
          <w:tcPr>
            <w:tcW w:w="1631" w:type="dxa"/>
          </w:tcPr>
          <w:p w:rsidR="001D2978" w:rsidRPr="00703137" w:rsidRDefault="001D2978" w:rsidP="00485FF3">
            <w:pPr>
              <w:pStyle w:val="Default"/>
              <w:jc w:val="both"/>
              <w:rPr>
                <w:color w:val="auto"/>
                <w:lang w:val="id-ID"/>
              </w:rPr>
            </w:pPr>
          </w:p>
        </w:tc>
        <w:tc>
          <w:tcPr>
            <w:tcW w:w="283" w:type="dxa"/>
          </w:tcPr>
          <w:p w:rsidR="001D2978" w:rsidRPr="00703137" w:rsidRDefault="001D2978" w:rsidP="00485FF3">
            <w:pPr>
              <w:pStyle w:val="Default"/>
              <w:jc w:val="both"/>
              <w:rPr>
                <w:color w:val="auto"/>
                <w:lang w:val="id-ID"/>
              </w:rPr>
            </w:pPr>
          </w:p>
        </w:tc>
        <w:tc>
          <w:tcPr>
            <w:tcW w:w="529" w:type="dxa"/>
            <w:gridSpan w:val="2"/>
          </w:tcPr>
          <w:p w:rsidR="001D2978" w:rsidRPr="00703137" w:rsidRDefault="001D2978" w:rsidP="00485FF3">
            <w:pPr>
              <w:pStyle w:val="Default"/>
              <w:jc w:val="both"/>
              <w:rPr>
                <w:color w:val="auto"/>
                <w:lang w:val="id-ID"/>
              </w:rPr>
            </w:pPr>
          </w:p>
        </w:tc>
        <w:tc>
          <w:tcPr>
            <w:tcW w:w="6802" w:type="dxa"/>
            <w:gridSpan w:val="2"/>
          </w:tcPr>
          <w:p w:rsidR="001D2978" w:rsidRPr="00703137" w:rsidRDefault="001D2978" w:rsidP="00485FF3">
            <w:pPr>
              <w:pStyle w:val="Default"/>
              <w:jc w:val="both"/>
              <w:rPr>
                <w:color w:val="auto"/>
                <w:lang w:val="id-ID"/>
              </w:rPr>
            </w:pPr>
          </w:p>
        </w:tc>
      </w:tr>
    </w:tbl>
    <w:p w:rsidR="001D2978" w:rsidRPr="00703137" w:rsidRDefault="001D2978" w:rsidP="001D2978">
      <w:pPr>
        <w:pStyle w:val="Default"/>
        <w:jc w:val="center"/>
        <w:rPr>
          <w:color w:val="auto"/>
          <w:lang w:val="id-ID"/>
        </w:rPr>
      </w:pPr>
      <w:r w:rsidRPr="00703137">
        <w:rPr>
          <w:color w:val="auto"/>
          <w:lang w:val="id-ID"/>
        </w:rPr>
        <w:t>MEMUTUSKAN:</w:t>
      </w:r>
    </w:p>
    <w:p w:rsidR="001D2978" w:rsidRPr="00703137" w:rsidRDefault="001D2978" w:rsidP="001D2978">
      <w:pPr>
        <w:pStyle w:val="Default"/>
        <w:ind w:left="1980" w:hanging="360"/>
        <w:jc w:val="both"/>
        <w:rPr>
          <w:color w:val="auto"/>
          <w:lang w:val="id-ID"/>
        </w:rPr>
      </w:pPr>
    </w:p>
    <w:tbl>
      <w:tblPr>
        <w:tblW w:w="0" w:type="auto"/>
        <w:tblLook w:val="04A0" w:firstRow="1" w:lastRow="0" w:firstColumn="1" w:lastColumn="0" w:noHBand="0" w:noVBand="1"/>
      </w:tblPr>
      <w:tblGrid>
        <w:gridCol w:w="1548"/>
        <w:gridCol w:w="283"/>
        <w:gridCol w:w="7329"/>
      </w:tblGrid>
      <w:tr w:rsidR="001D2978" w:rsidRPr="00703137" w:rsidTr="00485FF3">
        <w:tc>
          <w:tcPr>
            <w:tcW w:w="1548" w:type="dxa"/>
          </w:tcPr>
          <w:p w:rsidR="001D2978" w:rsidRPr="00703137" w:rsidRDefault="001D2978" w:rsidP="00485FF3">
            <w:pPr>
              <w:pStyle w:val="Default"/>
              <w:rPr>
                <w:color w:val="auto"/>
                <w:lang w:val="id-ID"/>
              </w:rPr>
            </w:pPr>
            <w:r w:rsidRPr="00703137">
              <w:rPr>
                <w:color w:val="auto"/>
                <w:lang w:val="id-ID"/>
              </w:rPr>
              <w:t>Menetapkan</w:t>
            </w:r>
          </w:p>
        </w:tc>
        <w:tc>
          <w:tcPr>
            <w:tcW w:w="283" w:type="dxa"/>
          </w:tcPr>
          <w:p w:rsidR="001D2978" w:rsidRPr="00703137" w:rsidRDefault="001D2978" w:rsidP="00485FF3">
            <w:pPr>
              <w:pStyle w:val="Default"/>
              <w:rPr>
                <w:color w:val="auto"/>
                <w:lang w:val="id-ID"/>
              </w:rPr>
            </w:pPr>
            <w:r w:rsidRPr="00703137">
              <w:rPr>
                <w:color w:val="auto"/>
                <w:lang w:val="id-ID"/>
              </w:rPr>
              <w:t>:</w:t>
            </w:r>
          </w:p>
        </w:tc>
        <w:tc>
          <w:tcPr>
            <w:tcW w:w="7329" w:type="dxa"/>
          </w:tcPr>
          <w:p w:rsidR="001D2978" w:rsidRPr="00703137" w:rsidRDefault="001D2978" w:rsidP="00485FF3">
            <w:pPr>
              <w:pStyle w:val="Default"/>
              <w:ind w:left="-31"/>
              <w:jc w:val="both"/>
              <w:rPr>
                <w:color w:val="auto"/>
                <w:lang w:val="id-ID"/>
              </w:rPr>
            </w:pPr>
            <w:r w:rsidRPr="00703137">
              <w:rPr>
                <w:color w:val="auto"/>
                <w:lang w:val="id-ID"/>
              </w:rPr>
              <w:t>PERATURAN MENTERI PENDIDIKAN NASIONAL TENTANG PENYELENGGARAAN PROGRAM STUDI DI LUAR DOMISILI PERGURUAN TINGGI.</w:t>
            </w:r>
          </w:p>
        </w:tc>
      </w:tr>
    </w:tbl>
    <w:p w:rsidR="001D2978" w:rsidRPr="00703137" w:rsidRDefault="001D2978" w:rsidP="001D2978">
      <w:pPr>
        <w:pStyle w:val="Default"/>
        <w:rPr>
          <w:color w:val="auto"/>
          <w:lang w:val="id-ID"/>
        </w:rPr>
      </w:pPr>
    </w:p>
    <w:p w:rsidR="001D2978" w:rsidRPr="00703137" w:rsidRDefault="001D2978" w:rsidP="001D2978">
      <w:pPr>
        <w:pStyle w:val="Default"/>
        <w:jc w:val="center"/>
        <w:rPr>
          <w:color w:val="auto"/>
          <w:lang w:val="id-ID"/>
        </w:rPr>
      </w:pPr>
      <w:r w:rsidRPr="00703137">
        <w:rPr>
          <w:color w:val="auto"/>
          <w:lang w:val="id-ID"/>
        </w:rPr>
        <w:t>Pasal 1</w:t>
      </w:r>
    </w:p>
    <w:p w:rsidR="001D2978" w:rsidRPr="00703137" w:rsidRDefault="001D2978" w:rsidP="001D2978">
      <w:pPr>
        <w:pStyle w:val="Default"/>
        <w:jc w:val="center"/>
        <w:rPr>
          <w:color w:val="auto"/>
          <w:lang w:val="id-ID"/>
        </w:rPr>
      </w:pPr>
    </w:p>
    <w:p w:rsidR="001D2978" w:rsidRPr="00703137" w:rsidRDefault="001D2978" w:rsidP="001D2978">
      <w:pPr>
        <w:pStyle w:val="Default"/>
        <w:jc w:val="both"/>
        <w:rPr>
          <w:color w:val="auto"/>
          <w:lang w:val="id-ID"/>
        </w:rPr>
      </w:pPr>
      <w:r w:rsidRPr="00703137">
        <w:rPr>
          <w:color w:val="auto"/>
          <w:lang w:val="id-ID"/>
        </w:rPr>
        <w:t>Dalam Peraturan Menteri ini yang dimaksud dengan:</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Domisili perguruan tinggi adalah wilayah kabupaten/kota tempat penyelenggaraan perguruan tinggi yang ditetapkan dalam ijin pendirian dan kabupaten/kota yang berbatasan langsung dengan kabupaten/kota tempat penyelenggaraan perguruan tinggi tersebut.</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 xml:space="preserve">Penyelenggaraan program studi di luar domisili adalah pelaksanaan kegiatan pendidikan tinggi oleh perguruan tinggi di luar domisili perguruan tinggi sebagaimana dicantumkan dalam izin pendirian perguruan tinggi dan/atau izin penyelenggaraan program studi yang ditetapkan oleh Kementerian. </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 xml:space="preserve">Perguruan tinggi adalah satuan pendidikan tinggi yang diselenggarakan oleh Pemerintah atau satuan pendidikan tinggi yang diselenggarakan oleh masyarakat. </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eastAsia="id-ID"/>
        </w:rPr>
        <w:t>Program studi adalah program yang mencakup kesatuan rencana belajar sebagai pedoman penyelenggaraan pendidikan yang diselenggarakan atas dasar suatu kurikulum serta ditujukan agar peserta didik dapat menguasai pengetahuan, keterampilan, dan sikap sesuai dengan sasaran kurikulum.</w:t>
      </w:r>
      <w:r w:rsidRPr="00703137">
        <w:rPr>
          <w:color w:val="auto"/>
          <w:lang w:val="id-ID"/>
        </w:rPr>
        <w:t xml:space="preserve"> </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 xml:space="preserve">Kurikulum adalah seperangkat rencana dan pengaturan mengenai tujuan, isi, dan bahan kuliah, serta cara yang digunakan sebagai pedoman penyelenggaraan kegiatan pembelajaran untuk mencapai tujuan pendidikan tinggi. </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 xml:space="preserve">Kurikulum tingkat program studi adalah kurikulum operasional yang disusun oleh dan dilaksanakan di masing-masing perguruan tinggi. </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 xml:space="preserve">Dosen adalah pendidik profesional dan ilmuwan dengan tugas utama mentransformasikan, mengembangkan, dan menyebarluaskan ilmu pengetahuan, teknologi, dan seni melalui pendidikan, penelitian, dan pengabdian kepada masyarakat. </w:t>
      </w:r>
    </w:p>
    <w:p w:rsidR="001D2978" w:rsidRPr="00703137" w:rsidRDefault="001D2978" w:rsidP="001D2978">
      <w:pPr>
        <w:pStyle w:val="Default"/>
        <w:jc w:val="both"/>
        <w:rPr>
          <w:color w:val="auto"/>
          <w:lang w:val="id-ID"/>
        </w:rPr>
      </w:pP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 xml:space="preserve">Mahasiswa adalah anggota masyarakat yang berusaha mengembangkan potensi diri melalui proses pembelajaran yang tersedia pada jalur pendidikan formal, jenjang pendidikan tinggi, dan jenis pendidikan akademik, profesi, dan/atau vokasi. </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 xml:space="preserve">Kementerian adalah Kementerian yang menyelenggarakan urusan pemerintahan di bidang pendidikan nasional. </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Menteri adalah menteri yang menyelenggarakan urusan pemerintahan di bidang pendidikan nasional.</w:t>
      </w:r>
    </w:p>
    <w:p w:rsidR="001D2978" w:rsidRPr="00703137" w:rsidRDefault="001D2978" w:rsidP="001D2978">
      <w:pPr>
        <w:pStyle w:val="Default"/>
        <w:numPr>
          <w:ilvl w:val="0"/>
          <w:numId w:val="16"/>
        </w:numPr>
        <w:ind w:left="450" w:hanging="450"/>
        <w:jc w:val="both"/>
        <w:rPr>
          <w:color w:val="auto"/>
          <w:lang w:val="id-ID"/>
        </w:rPr>
      </w:pPr>
      <w:r w:rsidRPr="00703137">
        <w:rPr>
          <w:color w:val="auto"/>
          <w:lang w:val="id-ID"/>
        </w:rPr>
        <w:t>Direktur Jenderal adalah Direktur Jenderal Pendidikan Tinggi.</w:t>
      </w:r>
    </w:p>
    <w:p w:rsidR="001D2978" w:rsidRPr="00703137" w:rsidRDefault="001D2978" w:rsidP="001D2978">
      <w:pPr>
        <w:pStyle w:val="Default"/>
        <w:jc w:val="center"/>
        <w:rPr>
          <w:color w:val="auto"/>
          <w:lang w:val="id-ID"/>
        </w:rPr>
      </w:pPr>
    </w:p>
    <w:p w:rsidR="001D2978" w:rsidRPr="00703137" w:rsidRDefault="001D2978" w:rsidP="001D2978">
      <w:pPr>
        <w:pStyle w:val="Default"/>
        <w:jc w:val="center"/>
        <w:rPr>
          <w:color w:val="auto"/>
          <w:lang w:val="id-ID"/>
        </w:rPr>
      </w:pPr>
      <w:r w:rsidRPr="00703137">
        <w:rPr>
          <w:color w:val="auto"/>
          <w:lang w:val="id-ID"/>
        </w:rPr>
        <w:t>Pasal 2</w:t>
      </w:r>
    </w:p>
    <w:p w:rsidR="001D2978" w:rsidRPr="00703137" w:rsidRDefault="001D2978" w:rsidP="001D2978">
      <w:pPr>
        <w:pStyle w:val="Default"/>
        <w:jc w:val="center"/>
        <w:rPr>
          <w:color w:val="auto"/>
          <w:lang w:val="id-ID"/>
        </w:rPr>
      </w:pPr>
    </w:p>
    <w:p w:rsidR="001D2978" w:rsidRPr="00703137" w:rsidRDefault="001D2978" w:rsidP="001D2978">
      <w:pPr>
        <w:pStyle w:val="Default"/>
        <w:numPr>
          <w:ilvl w:val="0"/>
          <w:numId w:val="17"/>
        </w:numPr>
        <w:tabs>
          <w:tab w:val="left" w:pos="450"/>
        </w:tabs>
        <w:ind w:left="450" w:hanging="450"/>
        <w:jc w:val="both"/>
        <w:rPr>
          <w:color w:val="auto"/>
          <w:lang w:val="id-ID"/>
        </w:rPr>
      </w:pPr>
      <w:r w:rsidRPr="00703137">
        <w:rPr>
          <w:color w:val="auto"/>
          <w:lang w:val="id-ID"/>
        </w:rPr>
        <w:t>Penyelenggaraan program studi di luar domisili dilaksanakan dengan prinsip akuntabilitas publik perguruan tinggi dengan mutu setara dengan program studi yang sama di domisili perguruan tinggi tersebut.</w:t>
      </w:r>
    </w:p>
    <w:p w:rsidR="001D2978" w:rsidRPr="00703137" w:rsidRDefault="001D2978" w:rsidP="001D2978">
      <w:pPr>
        <w:pStyle w:val="Default"/>
        <w:numPr>
          <w:ilvl w:val="0"/>
          <w:numId w:val="17"/>
        </w:numPr>
        <w:tabs>
          <w:tab w:val="left" w:pos="450"/>
        </w:tabs>
        <w:ind w:left="450" w:hanging="450"/>
        <w:jc w:val="both"/>
        <w:rPr>
          <w:color w:val="auto"/>
          <w:lang w:val="id-ID"/>
        </w:rPr>
      </w:pPr>
      <w:r w:rsidRPr="00703137">
        <w:rPr>
          <w:color w:val="auto"/>
          <w:lang w:val="id-ID"/>
        </w:rPr>
        <w:t>Akuntabilitas publik perguruan tinggi diwujudkan melalui kemampuan dan komitmen perguruan tinggi untuk mempertanggungjawabkan kegiatan tridharma perguruan tinggi kepada pemangku kepentingan sesuai dengan ketentuan peraturan perundang-undangan.</w:t>
      </w:r>
    </w:p>
    <w:p w:rsidR="001D2978" w:rsidRPr="00703137" w:rsidRDefault="001D2978" w:rsidP="001D2978">
      <w:pPr>
        <w:pStyle w:val="Default"/>
        <w:numPr>
          <w:ilvl w:val="0"/>
          <w:numId w:val="17"/>
        </w:numPr>
        <w:tabs>
          <w:tab w:val="left" w:pos="450"/>
        </w:tabs>
        <w:ind w:left="450" w:hanging="450"/>
        <w:jc w:val="both"/>
        <w:rPr>
          <w:color w:val="auto"/>
          <w:lang w:val="id-ID"/>
        </w:rPr>
      </w:pPr>
      <w:r w:rsidRPr="00703137">
        <w:rPr>
          <w:color w:val="auto"/>
          <w:lang w:val="id-ID"/>
        </w:rPr>
        <w:t xml:space="preserve">Akuntabilitas publik perguruan tinggi terdiri atas akuntabilitas akademik dan akuntabilitas non-akademik, yaitu: </w:t>
      </w:r>
    </w:p>
    <w:p w:rsidR="001D2978" w:rsidRPr="00703137" w:rsidRDefault="001D2978" w:rsidP="001D2978">
      <w:pPr>
        <w:pStyle w:val="Default"/>
        <w:numPr>
          <w:ilvl w:val="0"/>
          <w:numId w:val="18"/>
        </w:numPr>
        <w:tabs>
          <w:tab w:val="left" w:pos="900"/>
        </w:tabs>
        <w:ind w:left="900" w:hanging="450"/>
        <w:jc w:val="both"/>
        <w:rPr>
          <w:color w:val="auto"/>
          <w:lang w:val="id-ID"/>
        </w:rPr>
      </w:pPr>
      <w:r w:rsidRPr="00703137">
        <w:rPr>
          <w:color w:val="auto"/>
          <w:lang w:val="id-ID"/>
        </w:rPr>
        <w:t xml:space="preserve">jumlah maksimum seluruh mahasiswa proporsional dengan kapasitas sarana dan prasarana, dosen, tenaga kependidikan, serta sumber daya lainnya dalam penyelenggaraan program studi di luar domisili; </w:t>
      </w:r>
    </w:p>
    <w:p w:rsidR="001D2978" w:rsidRPr="00703137" w:rsidRDefault="001D2978" w:rsidP="001D2978">
      <w:pPr>
        <w:pStyle w:val="Default"/>
        <w:numPr>
          <w:ilvl w:val="0"/>
          <w:numId w:val="18"/>
        </w:numPr>
        <w:tabs>
          <w:tab w:val="left" w:pos="900"/>
        </w:tabs>
        <w:ind w:left="900" w:hanging="450"/>
        <w:jc w:val="both"/>
        <w:rPr>
          <w:color w:val="auto"/>
          <w:lang w:val="id-ID"/>
        </w:rPr>
      </w:pPr>
      <w:r w:rsidRPr="00703137">
        <w:rPr>
          <w:color w:val="auto"/>
          <w:lang w:val="id-ID"/>
        </w:rPr>
        <w:t xml:space="preserve">penyelenggaraan program studi di luar domisili memenuhi atau di atas standar pelayanan minimal serta secara bertahap dan sistematis menjalankan penjaminan mutu untuk memenuhi standar nasional pendidikan; </w:t>
      </w:r>
    </w:p>
    <w:p w:rsidR="001D2978" w:rsidRPr="00703137" w:rsidRDefault="001D2978" w:rsidP="001D2978">
      <w:pPr>
        <w:pStyle w:val="Default"/>
        <w:numPr>
          <w:ilvl w:val="0"/>
          <w:numId w:val="18"/>
        </w:numPr>
        <w:tabs>
          <w:tab w:val="left" w:pos="900"/>
        </w:tabs>
        <w:ind w:left="900" w:hanging="450"/>
        <w:jc w:val="both"/>
        <w:rPr>
          <w:color w:val="auto"/>
          <w:lang w:val="id-ID"/>
        </w:rPr>
      </w:pPr>
      <w:r w:rsidRPr="00703137">
        <w:rPr>
          <w:color w:val="auto"/>
          <w:lang w:val="id-ID"/>
        </w:rPr>
        <w:t xml:space="preserve">tidak melakukan komersialisasi pendidikan dalam penyelenggaraan program studi di luar domisili; </w:t>
      </w:r>
    </w:p>
    <w:p w:rsidR="001D2978" w:rsidRPr="00703137" w:rsidRDefault="001D2978" w:rsidP="001D2978">
      <w:pPr>
        <w:pStyle w:val="Default"/>
        <w:numPr>
          <w:ilvl w:val="0"/>
          <w:numId w:val="18"/>
        </w:numPr>
        <w:tabs>
          <w:tab w:val="left" w:pos="900"/>
        </w:tabs>
        <w:ind w:left="900" w:hanging="450"/>
        <w:jc w:val="both"/>
        <w:rPr>
          <w:color w:val="auto"/>
          <w:lang w:val="id-ID"/>
        </w:rPr>
      </w:pPr>
      <w:r w:rsidRPr="00703137">
        <w:rPr>
          <w:color w:val="auto"/>
          <w:lang w:val="id-ID"/>
        </w:rPr>
        <w:t xml:space="preserve">menyusun laporan keuangan penyelenggaraan program studi di luar domisili secara tepat waktu, sesuai standar akuntansi yang berlaku, untuk diaudit oleh akuntan publik; dan </w:t>
      </w:r>
    </w:p>
    <w:p w:rsidR="001D2978" w:rsidRPr="00703137" w:rsidRDefault="001D2978" w:rsidP="001D2978">
      <w:pPr>
        <w:pStyle w:val="Default"/>
        <w:numPr>
          <w:ilvl w:val="0"/>
          <w:numId w:val="18"/>
        </w:numPr>
        <w:tabs>
          <w:tab w:val="left" w:pos="900"/>
        </w:tabs>
        <w:ind w:left="900" w:hanging="450"/>
        <w:jc w:val="both"/>
        <w:rPr>
          <w:color w:val="auto"/>
          <w:lang w:val="id-ID"/>
        </w:rPr>
      </w:pPr>
      <w:r w:rsidRPr="00703137">
        <w:rPr>
          <w:color w:val="auto"/>
          <w:lang w:val="id-ID"/>
        </w:rPr>
        <w:t xml:space="preserve">melaporkan secara tertulis seluruh kegiatan penyelenggaraan program studi di luar domisili setiap akhir tahun akademik kepada pemimpin perguruan tinggi. </w:t>
      </w:r>
    </w:p>
    <w:p w:rsidR="001D2978" w:rsidRPr="00703137" w:rsidRDefault="001D2978" w:rsidP="001D2978">
      <w:pPr>
        <w:pStyle w:val="Default"/>
        <w:jc w:val="both"/>
        <w:rPr>
          <w:color w:val="auto"/>
          <w:lang w:val="id-ID"/>
        </w:rPr>
      </w:pPr>
    </w:p>
    <w:p w:rsidR="001D2978" w:rsidRPr="00703137" w:rsidRDefault="001D2978" w:rsidP="001D2978">
      <w:pPr>
        <w:pStyle w:val="Default"/>
        <w:jc w:val="center"/>
        <w:rPr>
          <w:color w:val="auto"/>
          <w:lang w:val="id-ID"/>
        </w:rPr>
      </w:pPr>
      <w:r w:rsidRPr="00703137">
        <w:rPr>
          <w:color w:val="auto"/>
          <w:lang w:val="id-ID"/>
        </w:rPr>
        <w:t>Pasal 3</w:t>
      </w:r>
    </w:p>
    <w:p w:rsidR="001D2978" w:rsidRPr="00703137" w:rsidRDefault="001D2978" w:rsidP="001D2978">
      <w:pPr>
        <w:pStyle w:val="Default"/>
        <w:jc w:val="center"/>
        <w:rPr>
          <w:color w:val="auto"/>
          <w:lang w:val="id-ID"/>
        </w:rPr>
      </w:pPr>
    </w:p>
    <w:p w:rsidR="001D2978" w:rsidRPr="00703137" w:rsidRDefault="001D2978" w:rsidP="001D2978">
      <w:pPr>
        <w:pStyle w:val="Default"/>
        <w:numPr>
          <w:ilvl w:val="0"/>
          <w:numId w:val="19"/>
        </w:numPr>
        <w:tabs>
          <w:tab w:val="left" w:pos="450"/>
        </w:tabs>
        <w:ind w:left="450" w:hanging="450"/>
        <w:jc w:val="both"/>
        <w:rPr>
          <w:color w:val="auto"/>
          <w:lang w:val="id-ID"/>
        </w:rPr>
      </w:pPr>
      <w:r w:rsidRPr="00703137">
        <w:rPr>
          <w:color w:val="auto"/>
          <w:lang w:val="id-ID"/>
        </w:rPr>
        <w:t xml:space="preserve">Penyelenggaraan program studi di luar domisili wajib memenuhi persyaratan sebagai berikut: </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program studi di luar domisili melaksanakan tridharma perguruan tinggi secara utuh, konsisten, dan berkelanjutan, yang antara lain tercermin dari penyediaan anggarannya;</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perguruan tinggi penyelenggara program studi di luar domisili telah memperoleh akreditasi A untuk program studi yang sama di domisili perguruan tinggi tersebut;</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program studi di luar domisili harus memperoleh peringkat akreditasi yang sama dengan program studi di domisili perguruan tinggi paling lambat         3 (tiga) tahun;</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 xml:space="preserve">program studi di luar domisili diselenggarakan dengan kebijakan, manual, standar, dan dokumen penjaminan mutu yang sama dengan program studi di domisili perguruan tinggi tersebut; </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 xml:space="preserve">penyelenggaraan program studi di luar domisili dilakukan untuk memenuhi minat calon mahasiswa pada program studi tersebut yang belum dapat dipenuhi oleh perguruan tinggi setempat; </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 xml:space="preserve">penyelenggaraan program studi di luar domisili didukung oleh pemerintah daerah kabupaten/kota setempat; </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 xml:space="preserve">penyelenggaraan program studi di luar domisili telah dicantumkan di dalam Rencana Strategis 5 (lima) tahun perguruan tinggi penyelenggara; </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 xml:space="preserve">kurikulum program studi di luar domisili ditetapkan oleh perguruan tinggi yang bersangkutan sama dengan kurikulum program studi di domisili perguruan tinggi tersebut, kecuali diperlukan kekhasan kurikulum untuk memenuhi kebutuhan setempat; </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 xml:space="preserve">memiliki program kegiatan akademik yang memuat jurusan/bagian, tujuan, silabi, peraturan akademik dan administratif, serta standar substansi maupun prosedur ujian yang dimuat dalam buku pedoman/katalog khusus untuk program studi di luar domisili; </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dosen pada setiap program studi di luar domisili paling sedikit berjumlah         6 (enam) orang dengan latar belakang pendidikan sama atau sesuai dengan program studi di luar domisili, dengan rincian sebagai berikut:</w:t>
      </w:r>
    </w:p>
    <w:p w:rsidR="001D2978" w:rsidRPr="00703137" w:rsidRDefault="001D2978" w:rsidP="001D2978">
      <w:pPr>
        <w:pStyle w:val="ListParagraph"/>
        <w:numPr>
          <w:ilvl w:val="0"/>
          <w:numId w:val="23"/>
        </w:numPr>
        <w:tabs>
          <w:tab w:val="left" w:pos="1330"/>
          <w:tab w:val="left" w:pos="4320"/>
          <w:tab w:val="left" w:pos="4500"/>
        </w:tabs>
        <w:spacing w:after="0" w:line="240" w:lineRule="auto"/>
        <w:ind w:left="4500" w:hanging="3593"/>
        <w:jc w:val="both"/>
        <w:rPr>
          <w:rFonts w:ascii="Arial" w:hAnsi="Arial" w:cs="Arial"/>
          <w:sz w:val="24"/>
          <w:szCs w:val="24"/>
          <w:lang w:val="id-ID"/>
        </w:rPr>
      </w:pPr>
      <w:r w:rsidRPr="00703137">
        <w:rPr>
          <w:rFonts w:ascii="Arial" w:hAnsi="Arial" w:cs="Arial"/>
          <w:sz w:val="24"/>
          <w:szCs w:val="24"/>
          <w:lang w:val="id-ID"/>
        </w:rPr>
        <w:t xml:space="preserve">untuk program D I sd. D IV </w:t>
      </w:r>
      <w:r w:rsidRPr="00703137">
        <w:rPr>
          <w:rFonts w:ascii="Arial" w:hAnsi="Arial" w:cs="Arial"/>
          <w:sz w:val="24"/>
          <w:szCs w:val="24"/>
          <w:lang w:val="id-ID"/>
        </w:rPr>
        <w:tab/>
        <w:t xml:space="preserve">: </w:t>
      </w:r>
      <w:r w:rsidRPr="00703137">
        <w:rPr>
          <w:rFonts w:ascii="Arial" w:hAnsi="Arial" w:cs="Arial"/>
          <w:sz w:val="24"/>
          <w:szCs w:val="24"/>
          <w:lang w:val="id-ID"/>
        </w:rPr>
        <w:tab/>
        <w:t xml:space="preserve">6 (enam) orang berpendidikan S2; </w:t>
      </w:r>
    </w:p>
    <w:p w:rsidR="001D2978" w:rsidRPr="00703137" w:rsidRDefault="001D2978" w:rsidP="001D2978">
      <w:pPr>
        <w:pStyle w:val="ListParagraph"/>
        <w:numPr>
          <w:ilvl w:val="0"/>
          <w:numId w:val="23"/>
        </w:numPr>
        <w:tabs>
          <w:tab w:val="left" w:pos="1330"/>
          <w:tab w:val="left" w:pos="4320"/>
          <w:tab w:val="left" w:pos="4500"/>
        </w:tabs>
        <w:spacing w:after="0" w:line="240" w:lineRule="auto"/>
        <w:ind w:left="4500" w:hanging="3593"/>
        <w:jc w:val="both"/>
        <w:rPr>
          <w:rFonts w:ascii="Arial" w:hAnsi="Arial" w:cs="Arial"/>
          <w:sz w:val="24"/>
          <w:szCs w:val="24"/>
          <w:lang w:val="id-ID"/>
        </w:rPr>
      </w:pPr>
      <w:r w:rsidRPr="00703137">
        <w:rPr>
          <w:rFonts w:ascii="Arial" w:hAnsi="Arial" w:cs="Arial"/>
          <w:sz w:val="24"/>
          <w:szCs w:val="24"/>
          <w:lang w:val="id-ID"/>
        </w:rPr>
        <w:t xml:space="preserve">untuk program S1 </w:t>
      </w:r>
      <w:r w:rsidRPr="00703137">
        <w:rPr>
          <w:rFonts w:ascii="Arial" w:hAnsi="Arial" w:cs="Arial"/>
          <w:sz w:val="24"/>
          <w:szCs w:val="24"/>
          <w:lang w:val="id-ID"/>
        </w:rPr>
        <w:tab/>
        <w:t xml:space="preserve">: </w:t>
      </w:r>
      <w:r w:rsidRPr="00703137">
        <w:rPr>
          <w:rFonts w:ascii="Arial" w:hAnsi="Arial" w:cs="Arial"/>
          <w:sz w:val="24"/>
          <w:szCs w:val="24"/>
          <w:lang w:val="id-ID"/>
        </w:rPr>
        <w:tab/>
        <w:t xml:space="preserve">6 (enam) orang berpendidikan S2; </w:t>
      </w:r>
    </w:p>
    <w:p w:rsidR="001D2978" w:rsidRPr="00703137" w:rsidRDefault="001D2978" w:rsidP="001D2978">
      <w:pPr>
        <w:pStyle w:val="ListParagraph"/>
        <w:numPr>
          <w:ilvl w:val="0"/>
          <w:numId w:val="23"/>
        </w:numPr>
        <w:tabs>
          <w:tab w:val="left" w:pos="1330"/>
          <w:tab w:val="left" w:pos="4320"/>
          <w:tab w:val="left" w:pos="4500"/>
        </w:tabs>
        <w:spacing w:after="0" w:line="240" w:lineRule="auto"/>
        <w:ind w:left="4500" w:hanging="3593"/>
        <w:jc w:val="both"/>
        <w:rPr>
          <w:rFonts w:ascii="Arial" w:hAnsi="Arial" w:cs="Arial"/>
          <w:sz w:val="24"/>
          <w:szCs w:val="24"/>
          <w:lang w:val="id-ID"/>
        </w:rPr>
      </w:pPr>
      <w:r w:rsidRPr="00703137">
        <w:rPr>
          <w:rFonts w:ascii="Arial" w:hAnsi="Arial" w:cs="Arial"/>
          <w:sz w:val="24"/>
          <w:szCs w:val="24"/>
          <w:lang w:val="id-ID"/>
        </w:rPr>
        <w:t xml:space="preserve">untuk program S2 </w:t>
      </w:r>
      <w:r w:rsidRPr="00703137">
        <w:rPr>
          <w:rFonts w:ascii="Arial" w:hAnsi="Arial" w:cs="Arial"/>
          <w:sz w:val="24"/>
          <w:szCs w:val="24"/>
          <w:lang w:val="id-ID"/>
        </w:rPr>
        <w:tab/>
        <w:t xml:space="preserve">: </w:t>
      </w:r>
      <w:r w:rsidRPr="00703137">
        <w:rPr>
          <w:rFonts w:ascii="Arial" w:hAnsi="Arial" w:cs="Arial"/>
          <w:sz w:val="24"/>
          <w:szCs w:val="24"/>
          <w:lang w:val="id-ID"/>
        </w:rPr>
        <w:tab/>
        <w:t>6 (enam) orang berpendidikan S3;</w:t>
      </w:r>
    </w:p>
    <w:p w:rsidR="001D2978" w:rsidRPr="00703137" w:rsidRDefault="001D2978" w:rsidP="001D2978">
      <w:pPr>
        <w:pStyle w:val="ListParagraph"/>
        <w:numPr>
          <w:ilvl w:val="0"/>
          <w:numId w:val="23"/>
        </w:numPr>
        <w:tabs>
          <w:tab w:val="left" w:pos="1330"/>
          <w:tab w:val="left" w:pos="4320"/>
          <w:tab w:val="left" w:pos="4500"/>
        </w:tabs>
        <w:spacing w:after="0" w:line="240" w:lineRule="auto"/>
        <w:ind w:left="4500" w:hanging="3593"/>
        <w:jc w:val="both"/>
        <w:rPr>
          <w:rFonts w:ascii="Arial" w:hAnsi="Arial" w:cs="Arial"/>
          <w:sz w:val="24"/>
          <w:szCs w:val="24"/>
          <w:lang w:val="id-ID"/>
        </w:rPr>
      </w:pPr>
      <w:r w:rsidRPr="00703137">
        <w:rPr>
          <w:rFonts w:ascii="Arial" w:hAnsi="Arial" w:cs="Arial"/>
          <w:sz w:val="24"/>
          <w:szCs w:val="24"/>
          <w:lang w:val="id-ID"/>
        </w:rPr>
        <w:t xml:space="preserve">untuk program S3 </w:t>
      </w:r>
      <w:r w:rsidRPr="00703137">
        <w:rPr>
          <w:rFonts w:ascii="Arial" w:hAnsi="Arial" w:cs="Arial"/>
          <w:sz w:val="24"/>
          <w:szCs w:val="24"/>
          <w:lang w:val="id-ID"/>
        </w:rPr>
        <w:tab/>
        <w:t xml:space="preserve">: </w:t>
      </w:r>
      <w:r w:rsidRPr="00703137">
        <w:rPr>
          <w:rFonts w:ascii="Arial" w:hAnsi="Arial" w:cs="Arial"/>
          <w:sz w:val="24"/>
          <w:szCs w:val="24"/>
          <w:lang w:val="id-ID"/>
        </w:rPr>
        <w:tab/>
        <w:t>6 (enam) orang berpendidikan S3, paling sedikit 2 (dua) orang diantaranya guru besar;</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terdapat tenaga kependidikan yang khusus ditempatkan di program studi di luar domisili sesuai dengan ketentuan peraturan perundang-undangan;</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mahasiswa pada program studi di luar domisili wajib memenuhi nisbah dosen tetap dengan mahasiswa;</w:t>
      </w:r>
    </w:p>
    <w:p w:rsidR="001D2978" w:rsidRPr="00703137" w:rsidRDefault="001D2978" w:rsidP="001D2978">
      <w:pPr>
        <w:pStyle w:val="ListParagraph"/>
        <w:numPr>
          <w:ilvl w:val="0"/>
          <w:numId w:val="20"/>
        </w:numPr>
        <w:spacing w:after="0" w:line="240" w:lineRule="auto"/>
        <w:ind w:left="900" w:hanging="450"/>
        <w:jc w:val="both"/>
        <w:rPr>
          <w:rFonts w:ascii="Arial" w:hAnsi="Arial" w:cs="Arial"/>
          <w:sz w:val="24"/>
          <w:szCs w:val="24"/>
          <w:lang w:val="id-ID"/>
        </w:rPr>
      </w:pPr>
      <w:r w:rsidRPr="00703137">
        <w:rPr>
          <w:rFonts w:ascii="Arial" w:hAnsi="Arial" w:cs="Arial"/>
          <w:sz w:val="24"/>
          <w:szCs w:val="24"/>
          <w:lang w:val="id-ID"/>
        </w:rPr>
        <w:t xml:space="preserve">   mahasiswa pada program studi tertentu yang diprioritaskan untuk pengembangan keilmuan dan berbasis keunggulan lokal tidak dikenakan persyaratan batas jumlah minimum sebagaimana dimaksud pada huruf l;</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sumber pendanaan program studi di luar domisili disediakan oleh perguruan tinggi yang bersangkutan untuk menjamin kelancaran penyelenggaraan program studi tersebut sesuai dengan ketentuan peraturan perundang-undangan;</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memiliki lahan sendiri atau disewa atau dikontrak untuk jangka waktu paling sedikit 5 (lima) tahun dengan hak opsi, yang dinyatakan dalam perjanjian;</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sarana dan prasarana lainnya dimiliki sendiri atau disewaguna/kontrak untuk jangka waktu paling sedikit 3 (tiga) tahun meliputi fasilitas fisik pendidikan, yang dibuktikan dengan sertifikat atau perjanjian dengan ketentuan minimal:</w:t>
      </w:r>
    </w:p>
    <w:p w:rsidR="001D2978" w:rsidRPr="00703137" w:rsidRDefault="001D2978" w:rsidP="001D2978">
      <w:pPr>
        <w:pStyle w:val="ListParagraph"/>
        <w:numPr>
          <w:ilvl w:val="0"/>
          <w:numId w:val="22"/>
        </w:numPr>
        <w:spacing w:after="0" w:line="240" w:lineRule="auto"/>
        <w:ind w:left="1350" w:hanging="443"/>
        <w:jc w:val="both"/>
        <w:rPr>
          <w:rFonts w:ascii="Arial" w:hAnsi="Arial" w:cs="Arial"/>
          <w:sz w:val="24"/>
          <w:szCs w:val="24"/>
          <w:lang w:val="id-ID"/>
        </w:rPr>
      </w:pPr>
      <w:r w:rsidRPr="00703137">
        <w:rPr>
          <w:rFonts w:ascii="Arial" w:hAnsi="Arial" w:cs="Arial"/>
          <w:sz w:val="24"/>
          <w:szCs w:val="24"/>
          <w:lang w:val="id-ID"/>
        </w:rPr>
        <w:t>ruang kuliah : 0.5 m2 per mahasiswa;</w:t>
      </w:r>
    </w:p>
    <w:p w:rsidR="001D2978" w:rsidRPr="00703137" w:rsidRDefault="001D2978" w:rsidP="001D2978">
      <w:pPr>
        <w:pStyle w:val="ListParagraph"/>
        <w:numPr>
          <w:ilvl w:val="0"/>
          <w:numId w:val="22"/>
        </w:numPr>
        <w:spacing w:after="0" w:line="240" w:lineRule="auto"/>
        <w:ind w:left="1350" w:hanging="443"/>
        <w:jc w:val="both"/>
        <w:rPr>
          <w:rFonts w:ascii="Arial" w:hAnsi="Arial" w:cs="Arial"/>
          <w:sz w:val="24"/>
          <w:szCs w:val="24"/>
          <w:lang w:val="id-ID"/>
        </w:rPr>
      </w:pPr>
      <w:r w:rsidRPr="00703137">
        <w:rPr>
          <w:rFonts w:ascii="Arial" w:hAnsi="Arial" w:cs="Arial"/>
          <w:sz w:val="24"/>
          <w:szCs w:val="24"/>
          <w:lang w:val="id-ID"/>
        </w:rPr>
        <w:t xml:space="preserve">ruang dosen tetap : 4 m2 per orang; </w:t>
      </w:r>
    </w:p>
    <w:p w:rsidR="001D2978" w:rsidRPr="00703137" w:rsidRDefault="001D2978" w:rsidP="001D2978">
      <w:pPr>
        <w:pStyle w:val="ListParagraph"/>
        <w:spacing w:after="0" w:line="240" w:lineRule="auto"/>
        <w:jc w:val="both"/>
        <w:rPr>
          <w:rFonts w:ascii="Arial" w:hAnsi="Arial" w:cs="Arial"/>
          <w:sz w:val="24"/>
          <w:szCs w:val="24"/>
          <w:lang w:val="id-ID"/>
        </w:rPr>
      </w:pPr>
    </w:p>
    <w:p w:rsidR="001D2978" w:rsidRDefault="001D2978" w:rsidP="001D2978">
      <w:pPr>
        <w:pStyle w:val="ListParagraph"/>
        <w:spacing w:after="0" w:line="240" w:lineRule="auto"/>
        <w:jc w:val="both"/>
        <w:rPr>
          <w:rFonts w:ascii="Arial" w:hAnsi="Arial" w:cs="Arial"/>
          <w:sz w:val="24"/>
          <w:szCs w:val="24"/>
          <w:lang w:val="id-ID"/>
        </w:rPr>
      </w:pPr>
    </w:p>
    <w:p w:rsidR="001D2978" w:rsidRDefault="001D2978" w:rsidP="001D2978">
      <w:pPr>
        <w:pStyle w:val="ListParagraph"/>
        <w:spacing w:after="0" w:line="240" w:lineRule="auto"/>
        <w:jc w:val="both"/>
        <w:rPr>
          <w:rFonts w:ascii="Arial" w:hAnsi="Arial" w:cs="Arial"/>
          <w:sz w:val="24"/>
          <w:szCs w:val="24"/>
          <w:lang w:val="id-ID"/>
        </w:rPr>
      </w:pPr>
    </w:p>
    <w:p w:rsidR="001D2978" w:rsidRDefault="001D2978" w:rsidP="001D2978">
      <w:pPr>
        <w:pStyle w:val="ListParagraph"/>
        <w:spacing w:after="0" w:line="240" w:lineRule="auto"/>
        <w:jc w:val="both"/>
        <w:rPr>
          <w:rFonts w:ascii="Arial" w:hAnsi="Arial" w:cs="Arial"/>
          <w:sz w:val="24"/>
          <w:szCs w:val="24"/>
          <w:lang w:val="id-ID"/>
        </w:rPr>
      </w:pPr>
    </w:p>
    <w:p w:rsidR="001D2978" w:rsidRPr="00703137" w:rsidRDefault="001D2978" w:rsidP="001D2978">
      <w:pPr>
        <w:pStyle w:val="ListParagraph"/>
        <w:spacing w:after="0" w:line="240" w:lineRule="auto"/>
        <w:jc w:val="both"/>
        <w:rPr>
          <w:rFonts w:ascii="Arial" w:hAnsi="Arial" w:cs="Arial"/>
          <w:sz w:val="24"/>
          <w:szCs w:val="24"/>
          <w:lang w:val="id-ID"/>
        </w:rPr>
      </w:pPr>
    </w:p>
    <w:p w:rsidR="001D2978" w:rsidRPr="00703137" w:rsidRDefault="001D2978" w:rsidP="001D2978">
      <w:pPr>
        <w:pStyle w:val="ListParagraph"/>
        <w:numPr>
          <w:ilvl w:val="0"/>
          <w:numId w:val="22"/>
        </w:numPr>
        <w:spacing w:after="0" w:line="240" w:lineRule="auto"/>
        <w:ind w:left="1350" w:hanging="443"/>
        <w:jc w:val="both"/>
        <w:rPr>
          <w:rFonts w:ascii="Arial" w:hAnsi="Arial" w:cs="Arial"/>
          <w:sz w:val="24"/>
          <w:szCs w:val="24"/>
          <w:lang w:val="id-ID"/>
        </w:rPr>
      </w:pPr>
      <w:r w:rsidRPr="00703137">
        <w:rPr>
          <w:rFonts w:ascii="Arial" w:hAnsi="Arial" w:cs="Arial"/>
          <w:sz w:val="24"/>
          <w:szCs w:val="24"/>
          <w:lang w:val="id-ID"/>
        </w:rPr>
        <w:t>ruang administrasi dan kantor : 4 m2 per orang;</w:t>
      </w:r>
    </w:p>
    <w:p w:rsidR="001D2978" w:rsidRPr="00703137" w:rsidRDefault="001D2978" w:rsidP="001D2978">
      <w:pPr>
        <w:pStyle w:val="ListParagraph"/>
        <w:numPr>
          <w:ilvl w:val="0"/>
          <w:numId w:val="22"/>
        </w:numPr>
        <w:spacing w:after="0" w:line="240" w:lineRule="auto"/>
        <w:ind w:left="1350" w:hanging="443"/>
        <w:jc w:val="both"/>
        <w:rPr>
          <w:rFonts w:ascii="Arial" w:hAnsi="Arial" w:cs="Arial"/>
          <w:sz w:val="24"/>
          <w:szCs w:val="24"/>
          <w:lang w:val="id-ID"/>
        </w:rPr>
      </w:pPr>
      <w:r w:rsidRPr="00703137">
        <w:rPr>
          <w:rFonts w:ascii="Arial" w:hAnsi="Arial" w:cs="Arial"/>
          <w:sz w:val="24"/>
          <w:szCs w:val="24"/>
          <w:lang w:val="id-ID"/>
        </w:rPr>
        <w:t>ruang perpustakaan dengan jumlah pustaka sebagai berikut:</w:t>
      </w:r>
    </w:p>
    <w:p w:rsidR="001D2978" w:rsidRPr="00703137" w:rsidRDefault="001D2978" w:rsidP="001D2978">
      <w:pPr>
        <w:pStyle w:val="Default"/>
        <w:numPr>
          <w:ilvl w:val="0"/>
          <w:numId w:val="21"/>
        </w:numPr>
        <w:tabs>
          <w:tab w:val="left" w:pos="1800"/>
        </w:tabs>
        <w:ind w:left="1800" w:hanging="450"/>
        <w:jc w:val="both"/>
        <w:rPr>
          <w:color w:val="auto"/>
          <w:lang w:val="id-ID"/>
        </w:rPr>
      </w:pPr>
      <w:r w:rsidRPr="00703137">
        <w:rPr>
          <w:color w:val="auto"/>
          <w:lang w:val="id-ID"/>
        </w:rPr>
        <w:t>paling sedikit 120 (seratus dua puluh) judul buku (</w:t>
      </w:r>
      <w:r w:rsidRPr="00703137">
        <w:rPr>
          <w:i/>
          <w:iCs/>
          <w:color w:val="auto"/>
          <w:lang w:val="id-ID"/>
        </w:rPr>
        <w:t xml:space="preserve">hard copy </w:t>
      </w:r>
      <w:r w:rsidRPr="00703137">
        <w:rPr>
          <w:color w:val="auto"/>
          <w:lang w:val="id-ID"/>
        </w:rPr>
        <w:t xml:space="preserve">atau </w:t>
      </w:r>
      <w:r w:rsidRPr="00703137">
        <w:rPr>
          <w:i/>
          <w:iCs/>
          <w:color w:val="auto"/>
          <w:lang w:val="id-ID"/>
        </w:rPr>
        <w:t>soft copy</w:t>
      </w:r>
      <w:r w:rsidRPr="00703137">
        <w:rPr>
          <w:color w:val="auto"/>
          <w:lang w:val="id-ID"/>
        </w:rPr>
        <w:t>) per program studi dan setiap judul buku (</w:t>
      </w:r>
      <w:r w:rsidRPr="00703137">
        <w:rPr>
          <w:i/>
          <w:iCs/>
          <w:color w:val="auto"/>
          <w:lang w:val="id-ID"/>
        </w:rPr>
        <w:t>hard copy</w:t>
      </w:r>
      <w:r w:rsidRPr="00703137">
        <w:rPr>
          <w:color w:val="auto"/>
          <w:lang w:val="id-ID"/>
        </w:rPr>
        <w:t>) minimal memiliki 2 (dua) eksemplar; dan</w:t>
      </w:r>
    </w:p>
    <w:p w:rsidR="001D2978" w:rsidRPr="00703137" w:rsidRDefault="001D2978" w:rsidP="001D2978">
      <w:pPr>
        <w:pStyle w:val="Default"/>
        <w:numPr>
          <w:ilvl w:val="0"/>
          <w:numId w:val="21"/>
        </w:numPr>
        <w:tabs>
          <w:tab w:val="left" w:pos="1800"/>
        </w:tabs>
        <w:ind w:left="1800" w:hanging="450"/>
        <w:jc w:val="both"/>
        <w:rPr>
          <w:color w:val="auto"/>
          <w:lang w:val="id-ID"/>
        </w:rPr>
      </w:pPr>
      <w:r w:rsidRPr="00703137">
        <w:rPr>
          <w:color w:val="auto"/>
          <w:lang w:val="id-ID"/>
        </w:rPr>
        <w:t>paling sedikit 10 (sepuluh) judul jurnal ilmiah (</w:t>
      </w:r>
      <w:r w:rsidRPr="00703137">
        <w:rPr>
          <w:i/>
          <w:iCs/>
          <w:color w:val="auto"/>
          <w:lang w:val="id-ID"/>
        </w:rPr>
        <w:t>hard copy</w:t>
      </w:r>
      <w:r w:rsidRPr="00703137">
        <w:rPr>
          <w:color w:val="auto"/>
          <w:lang w:val="id-ID"/>
        </w:rPr>
        <w:t>) per program studi;</w:t>
      </w:r>
    </w:p>
    <w:p w:rsidR="001D2978" w:rsidRPr="00703137" w:rsidRDefault="001D2978" w:rsidP="001D2978">
      <w:pPr>
        <w:pStyle w:val="Default"/>
        <w:numPr>
          <w:ilvl w:val="0"/>
          <w:numId w:val="20"/>
        </w:numPr>
        <w:tabs>
          <w:tab w:val="left" w:pos="900"/>
        </w:tabs>
        <w:ind w:left="900" w:hanging="450"/>
        <w:jc w:val="both"/>
        <w:rPr>
          <w:color w:val="auto"/>
          <w:lang w:val="id-ID"/>
        </w:rPr>
      </w:pPr>
      <w:r w:rsidRPr="00703137">
        <w:rPr>
          <w:color w:val="auto"/>
          <w:lang w:val="id-ID"/>
        </w:rPr>
        <w:t>memiliki akses pada sumber belajar digital yang memberikan akses pada minimal 100 (seratus) jurnal ilmiah digital yang relevan per program studi.</w:t>
      </w:r>
    </w:p>
    <w:p w:rsidR="001D2978" w:rsidRPr="00703137" w:rsidRDefault="001D2978" w:rsidP="001D2978">
      <w:pPr>
        <w:pStyle w:val="Default"/>
        <w:tabs>
          <w:tab w:val="left" w:pos="450"/>
        </w:tabs>
        <w:ind w:left="450" w:hanging="450"/>
        <w:jc w:val="both"/>
        <w:rPr>
          <w:color w:val="auto"/>
          <w:lang w:val="id-ID"/>
        </w:rPr>
      </w:pPr>
      <w:r w:rsidRPr="00703137">
        <w:rPr>
          <w:color w:val="auto"/>
          <w:lang w:val="id-ID"/>
        </w:rPr>
        <w:t xml:space="preserve">(2) </w:t>
      </w:r>
      <w:r w:rsidRPr="00703137">
        <w:rPr>
          <w:color w:val="auto"/>
          <w:lang w:val="id-ID"/>
        </w:rPr>
        <w:tab/>
        <w:t>Perguruan tinggi penyelenggara program studi di luar domisili wajib mengajukan izin kepada Menteri dengan melampirkan bukti pemenuhan syarat sebagaimana dimaksud pada ayat (1).</w:t>
      </w:r>
    </w:p>
    <w:p w:rsidR="001D2978" w:rsidRPr="00703137" w:rsidRDefault="001D2978" w:rsidP="001D2978">
      <w:pPr>
        <w:pStyle w:val="Default"/>
        <w:tabs>
          <w:tab w:val="left" w:pos="450"/>
          <w:tab w:val="left" w:pos="900"/>
        </w:tabs>
        <w:ind w:left="450" w:hanging="450"/>
        <w:jc w:val="both"/>
        <w:rPr>
          <w:color w:val="auto"/>
          <w:lang w:val="id-ID"/>
        </w:rPr>
      </w:pPr>
      <w:r w:rsidRPr="00703137">
        <w:rPr>
          <w:color w:val="auto"/>
          <w:lang w:val="id-ID"/>
        </w:rPr>
        <w:t xml:space="preserve">(3) </w:t>
      </w:r>
      <w:r w:rsidRPr="00703137">
        <w:rPr>
          <w:color w:val="auto"/>
          <w:lang w:val="id-ID"/>
        </w:rPr>
        <w:tab/>
        <w:t>Untuk menjamin mutu program studi yang diselenggarakan di luar domisili dilakukan evaluasi secara berkala.</w:t>
      </w:r>
    </w:p>
    <w:p w:rsidR="001D2978" w:rsidRPr="00703137" w:rsidRDefault="001D2978" w:rsidP="001D2978">
      <w:pPr>
        <w:pStyle w:val="Default"/>
        <w:ind w:left="450" w:hanging="450"/>
        <w:jc w:val="both"/>
        <w:rPr>
          <w:color w:val="auto"/>
          <w:lang w:val="id-ID"/>
        </w:rPr>
      </w:pPr>
      <w:r w:rsidRPr="00703137">
        <w:rPr>
          <w:color w:val="auto"/>
          <w:lang w:val="id-ID"/>
        </w:rPr>
        <w:t xml:space="preserve">(4) </w:t>
      </w:r>
      <w:r w:rsidRPr="00703137">
        <w:rPr>
          <w:color w:val="auto"/>
          <w:lang w:val="id-ID"/>
        </w:rPr>
        <w:tab/>
        <w:t>Evaluasi sebagaimana dimaksud pada ayat (3) dilakukan oleh Direktur Jenderal.</w:t>
      </w:r>
    </w:p>
    <w:p w:rsidR="001D2978" w:rsidRPr="00703137" w:rsidRDefault="001D2978" w:rsidP="001D2978">
      <w:pPr>
        <w:pStyle w:val="ListParagraph"/>
        <w:spacing w:after="0" w:line="240" w:lineRule="auto"/>
        <w:ind w:left="900"/>
        <w:jc w:val="both"/>
        <w:rPr>
          <w:rFonts w:ascii="Arial" w:hAnsi="Arial" w:cs="Arial"/>
          <w:sz w:val="24"/>
          <w:szCs w:val="24"/>
          <w:lang w:val="id-ID"/>
        </w:rPr>
      </w:pPr>
    </w:p>
    <w:p w:rsidR="001D2978" w:rsidRPr="00703137" w:rsidRDefault="001D2978" w:rsidP="001D2978">
      <w:pPr>
        <w:pStyle w:val="Default"/>
        <w:jc w:val="center"/>
        <w:rPr>
          <w:color w:val="auto"/>
          <w:lang w:val="id-ID"/>
        </w:rPr>
      </w:pPr>
      <w:r w:rsidRPr="00703137">
        <w:rPr>
          <w:color w:val="auto"/>
          <w:lang w:val="id-ID"/>
        </w:rPr>
        <w:t>Pasal 4</w:t>
      </w:r>
    </w:p>
    <w:p w:rsidR="001D2978" w:rsidRPr="00703137" w:rsidRDefault="001D2978" w:rsidP="001D2978">
      <w:pPr>
        <w:pStyle w:val="Default"/>
        <w:jc w:val="center"/>
        <w:rPr>
          <w:color w:val="auto"/>
          <w:lang w:val="id-ID"/>
        </w:rPr>
      </w:pPr>
    </w:p>
    <w:p w:rsidR="001D2978" w:rsidRPr="00703137" w:rsidRDefault="001D2978" w:rsidP="001D2978">
      <w:pPr>
        <w:numPr>
          <w:ilvl w:val="2"/>
          <w:numId w:val="24"/>
        </w:numPr>
        <w:spacing w:after="0" w:line="240" w:lineRule="auto"/>
        <w:ind w:left="450" w:hanging="433"/>
        <w:jc w:val="both"/>
        <w:rPr>
          <w:rFonts w:ascii="Arial" w:hAnsi="Arial" w:cs="Arial"/>
          <w:sz w:val="24"/>
          <w:szCs w:val="24"/>
          <w:lang w:val="id-ID"/>
        </w:rPr>
      </w:pPr>
      <w:r w:rsidRPr="00703137">
        <w:rPr>
          <w:rFonts w:ascii="Arial" w:hAnsi="Arial" w:cs="Arial"/>
          <w:sz w:val="24"/>
          <w:szCs w:val="24"/>
          <w:lang w:val="id-ID"/>
        </w:rPr>
        <w:t xml:space="preserve">Dalam hal terdapat kebutuhan untuk menyelenggarakan program studi di luar domisili dalam bidang dan kondisi tertentu, Menteri dapat menetapkan perguruan tinggi untuk menyelenggarakan program studi tersebut. </w:t>
      </w:r>
    </w:p>
    <w:p w:rsidR="001D2978" w:rsidRPr="00703137" w:rsidRDefault="001D2978" w:rsidP="001D2978">
      <w:pPr>
        <w:numPr>
          <w:ilvl w:val="2"/>
          <w:numId w:val="24"/>
        </w:numPr>
        <w:spacing w:after="0" w:line="240" w:lineRule="auto"/>
        <w:ind w:left="450" w:hanging="433"/>
        <w:jc w:val="both"/>
        <w:rPr>
          <w:rFonts w:ascii="Arial" w:hAnsi="Arial" w:cs="Arial"/>
          <w:sz w:val="24"/>
          <w:szCs w:val="24"/>
          <w:lang w:val="id-ID"/>
        </w:rPr>
      </w:pPr>
      <w:r w:rsidRPr="00703137">
        <w:rPr>
          <w:rFonts w:ascii="Arial" w:hAnsi="Arial" w:cs="Arial"/>
          <w:sz w:val="24"/>
          <w:szCs w:val="24"/>
          <w:lang w:val="id-ID"/>
        </w:rPr>
        <w:t>Ketentuan lebih lanjut mengenai penyelenggaraan program studi di luar domisili dalam bidang dan kondisi tertentu sebagaimana dimaksud pada ayat (1) diatur oleh Direktur Jenderal.</w:t>
      </w:r>
    </w:p>
    <w:p w:rsidR="001D2978" w:rsidRPr="00703137" w:rsidRDefault="001D2978" w:rsidP="001D2978">
      <w:pPr>
        <w:spacing w:after="0" w:line="240" w:lineRule="auto"/>
        <w:ind w:left="377"/>
        <w:rPr>
          <w:rFonts w:ascii="Arial" w:hAnsi="Arial" w:cs="Arial"/>
          <w:sz w:val="24"/>
          <w:szCs w:val="24"/>
          <w:lang w:val="id-ID"/>
        </w:rPr>
      </w:pPr>
    </w:p>
    <w:p w:rsidR="001D2978" w:rsidRPr="00703137" w:rsidRDefault="001D2978" w:rsidP="001D2978">
      <w:pPr>
        <w:pStyle w:val="Default"/>
        <w:ind w:left="540" w:hanging="540"/>
        <w:jc w:val="center"/>
        <w:rPr>
          <w:color w:val="auto"/>
          <w:lang w:val="id-ID"/>
        </w:rPr>
      </w:pPr>
      <w:r w:rsidRPr="00703137">
        <w:rPr>
          <w:color w:val="auto"/>
          <w:lang w:val="id-ID"/>
        </w:rPr>
        <w:t>Pasal 5</w:t>
      </w:r>
    </w:p>
    <w:p w:rsidR="001D2978" w:rsidRPr="00703137" w:rsidRDefault="001D2978" w:rsidP="001D2978">
      <w:pPr>
        <w:pStyle w:val="Default"/>
        <w:ind w:left="540" w:hanging="540"/>
        <w:jc w:val="center"/>
        <w:rPr>
          <w:color w:val="auto"/>
          <w:lang w:val="id-ID"/>
        </w:rPr>
      </w:pPr>
    </w:p>
    <w:p w:rsidR="001D2978" w:rsidRPr="00703137" w:rsidRDefault="001D2978" w:rsidP="001D2978">
      <w:pPr>
        <w:pStyle w:val="Default"/>
        <w:numPr>
          <w:ilvl w:val="0"/>
          <w:numId w:val="25"/>
        </w:numPr>
        <w:ind w:left="450" w:hanging="450"/>
        <w:jc w:val="both"/>
        <w:rPr>
          <w:color w:val="auto"/>
          <w:lang w:val="id-ID"/>
        </w:rPr>
      </w:pPr>
      <w:r w:rsidRPr="00703137">
        <w:rPr>
          <w:color w:val="auto"/>
          <w:lang w:val="id-ID"/>
        </w:rPr>
        <w:t>Dalam hal perguruan tinggi penyelenggara program studi di luar domisili melanggar Peraturan Menteri ini, Menteri mengambil tindakan berupa:</w:t>
      </w:r>
    </w:p>
    <w:p w:rsidR="001D2978" w:rsidRPr="00703137" w:rsidRDefault="001D2978" w:rsidP="001D2978">
      <w:pPr>
        <w:pStyle w:val="Default"/>
        <w:numPr>
          <w:ilvl w:val="3"/>
          <w:numId w:val="24"/>
        </w:numPr>
        <w:tabs>
          <w:tab w:val="left" w:pos="900"/>
        </w:tabs>
        <w:ind w:left="900" w:hanging="450"/>
        <w:jc w:val="both"/>
        <w:rPr>
          <w:color w:val="auto"/>
          <w:lang w:val="id-ID"/>
        </w:rPr>
      </w:pPr>
      <w:r w:rsidRPr="00703137">
        <w:rPr>
          <w:color w:val="auto"/>
          <w:lang w:val="id-ID"/>
        </w:rPr>
        <w:t>pengurangan atau penghentian bantuan penyediaan sumberdaya bagi program studi;</w:t>
      </w:r>
    </w:p>
    <w:p w:rsidR="001D2978" w:rsidRPr="00703137" w:rsidRDefault="001D2978" w:rsidP="001D2978">
      <w:pPr>
        <w:pStyle w:val="Default"/>
        <w:numPr>
          <w:ilvl w:val="3"/>
          <w:numId w:val="24"/>
        </w:numPr>
        <w:tabs>
          <w:tab w:val="left" w:pos="900"/>
        </w:tabs>
        <w:ind w:left="900" w:hanging="450"/>
        <w:jc w:val="both"/>
        <w:rPr>
          <w:color w:val="auto"/>
          <w:lang w:val="id-ID"/>
        </w:rPr>
      </w:pPr>
      <w:r w:rsidRPr="00703137">
        <w:rPr>
          <w:color w:val="auto"/>
          <w:lang w:val="id-ID"/>
        </w:rPr>
        <w:t>penghentian penyelenggaraan program studi; atau</w:t>
      </w:r>
    </w:p>
    <w:p w:rsidR="001D2978" w:rsidRPr="00703137" w:rsidRDefault="001D2978" w:rsidP="001D2978">
      <w:pPr>
        <w:pStyle w:val="Default"/>
        <w:numPr>
          <w:ilvl w:val="3"/>
          <w:numId w:val="24"/>
        </w:numPr>
        <w:tabs>
          <w:tab w:val="left" w:pos="900"/>
        </w:tabs>
        <w:ind w:left="900" w:hanging="450"/>
        <w:jc w:val="both"/>
        <w:rPr>
          <w:color w:val="auto"/>
          <w:lang w:val="id-ID"/>
        </w:rPr>
      </w:pPr>
      <w:r w:rsidRPr="00703137">
        <w:rPr>
          <w:color w:val="auto"/>
          <w:lang w:val="id-ID"/>
        </w:rPr>
        <w:t>pencabutan izin program studi.</w:t>
      </w:r>
    </w:p>
    <w:p w:rsidR="001D2978" w:rsidRPr="00703137" w:rsidRDefault="001D2978" w:rsidP="001D2978">
      <w:pPr>
        <w:pStyle w:val="Default"/>
        <w:numPr>
          <w:ilvl w:val="0"/>
          <w:numId w:val="25"/>
        </w:numPr>
        <w:ind w:left="450" w:hanging="450"/>
        <w:jc w:val="both"/>
        <w:rPr>
          <w:color w:val="auto"/>
          <w:lang w:val="id-ID"/>
        </w:rPr>
      </w:pPr>
      <w:r w:rsidRPr="00703137">
        <w:rPr>
          <w:color w:val="auto"/>
          <w:lang w:val="id-ID"/>
        </w:rPr>
        <w:t>Penyelenggaraan program studi di luar domisili yang tidak memenuhi Peraturan Menteri ini dilarang, kecuali penyelenggaraan Program Sarjana (S-1) Kependidikan bagi guru dalam jabatan sebagaimana diatur dalam Peraturan Menteri Pendidikan Nasional Nomor 58 Tahun 2008 tentang Penyelenggaraan Program Sarjana (S-1) Kependidikan Bagi Guru Dalam Jabatan.</w:t>
      </w:r>
    </w:p>
    <w:p w:rsidR="001D2978" w:rsidRPr="00703137" w:rsidRDefault="001D2978" w:rsidP="001D2978">
      <w:pPr>
        <w:pStyle w:val="Default"/>
        <w:ind w:left="360"/>
        <w:jc w:val="both"/>
        <w:rPr>
          <w:color w:val="auto"/>
          <w:lang w:val="id-ID"/>
        </w:rPr>
      </w:pPr>
    </w:p>
    <w:p w:rsidR="001D2978" w:rsidRPr="00703137" w:rsidRDefault="001D2978" w:rsidP="001D2978">
      <w:pPr>
        <w:pStyle w:val="Default"/>
        <w:jc w:val="center"/>
        <w:rPr>
          <w:color w:val="auto"/>
          <w:lang w:val="id-ID"/>
        </w:rPr>
      </w:pPr>
      <w:r w:rsidRPr="00703137">
        <w:rPr>
          <w:color w:val="auto"/>
          <w:lang w:val="id-ID"/>
        </w:rPr>
        <w:t>Pasal 6</w:t>
      </w:r>
    </w:p>
    <w:p w:rsidR="001D2978" w:rsidRPr="00703137" w:rsidRDefault="001D2978" w:rsidP="001D2978">
      <w:pPr>
        <w:pStyle w:val="Default"/>
        <w:jc w:val="center"/>
        <w:rPr>
          <w:color w:val="auto"/>
          <w:lang w:val="id-ID"/>
        </w:rPr>
      </w:pPr>
    </w:p>
    <w:p w:rsidR="001D2978" w:rsidRPr="00703137" w:rsidRDefault="001D2978" w:rsidP="001D2978">
      <w:pPr>
        <w:pStyle w:val="Default"/>
        <w:jc w:val="both"/>
        <w:rPr>
          <w:color w:val="auto"/>
          <w:lang w:val="id-ID"/>
        </w:rPr>
      </w:pPr>
      <w:r w:rsidRPr="00703137">
        <w:rPr>
          <w:color w:val="auto"/>
          <w:lang w:val="id-ID"/>
        </w:rPr>
        <w:t>Pada saat mulai berlakunya Peraturan Menteri ini, Peraturan Menteri Pendidikan Nasional Nomor 30 Tahun 2009 tentang Penyelenggaraan Program Studi di Luar Domisili Perguruan Tinggi dinyatakan tidak berlaku.</w:t>
      </w:r>
    </w:p>
    <w:p w:rsidR="001D2978" w:rsidRPr="00703137" w:rsidRDefault="001D2978" w:rsidP="001D2978">
      <w:pPr>
        <w:pStyle w:val="Default"/>
        <w:jc w:val="both"/>
        <w:rPr>
          <w:color w:val="auto"/>
          <w:lang w:val="id-ID"/>
        </w:rPr>
      </w:pPr>
    </w:p>
    <w:p w:rsidR="001D2978" w:rsidRPr="00703137" w:rsidRDefault="001D2978" w:rsidP="001D2978">
      <w:pPr>
        <w:pStyle w:val="Default"/>
        <w:jc w:val="center"/>
        <w:rPr>
          <w:color w:val="auto"/>
          <w:lang w:val="id-ID"/>
        </w:rPr>
      </w:pPr>
      <w:r w:rsidRPr="00703137">
        <w:rPr>
          <w:color w:val="auto"/>
          <w:lang w:val="id-ID"/>
        </w:rPr>
        <w:t>Pasal 7</w:t>
      </w:r>
    </w:p>
    <w:p w:rsidR="001D2978" w:rsidRPr="00703137" w:rsidRDefault="001D2978" w:rsidP="001D2978">
      <w:pPr>
        <w:pStyle w:val="Default"/>
        <w:jc w:val="center"/>
        <w:rPr>
          <w:color w:val="auto"/>
          <w:lang w:val="id-ID"/>
        </w:rPr>
      </w:pPr>
    </w:p>
    <w:p w:rsidR="001D2978" w:rsidRPr="00703137" w:rsidRDefault="001D2978" w:rsidP="001D2978">
      <w:pPr>
        <w:autoSpaceDE w:val="0"/>
        <w:autoSpaceDN w:val="0"/>
        <w:adjustRightInd w:val="0"/>
        <w:spacing w:after="0" w:line="240" w:lineRule="auto"/>
        <w:jc w:val="both"/>
        <w:rPr>
          <w:rFonts w:ascii="Arial" w:hAnsi="Arial" w:cs="Arial"/>
          <w:sz w:val="24"/>
          <w:szCs w:val="24"/>
          <w:lang w:val="id-ID"/>
        </w:rPr>
      </w:pPr>
      <w:r w:rsidRPr="00703137">
        <w:rPr>
          <w:rFonts w:ascii="Arial" w:hAnsi="Arial" w:cs="Arial"/>
          <w:sz w:val="24"/>
          <w:szCs w:val="24"/>
          <w:lang w:val="id-ID"/>
        </w:rPr>
        <w:t>Peraturan Menteri ini mulai berlaku pada tanggal ditetapkan.</w:t>
      </w:r>
    </w:p>
    <w:p w:rsidR="001D2978" w:rsidRPr="00703137" w:rsidRDefault="001D2978" w:rsidP="001D2978">
      <w:pPr>
        <w:autoSpaceDE w:val="0"/>
        <w:autoSpaceDN w:val="0"/>
        <w:adjustRightInd w:val="0"/>
        <w:spacing w:after="0" w:line="240" w:lineRule="auto"/>
        <w:jc w:val="both"/>
        <w:rPr>
          <w:rFonts w:ascii="Arial" w:hAnsi="Arial" w:cs="Arial"/>
          <w:sz w:val="24"/>
          <w:szCs w:val="24"/>
          <w:lang w:val="id-ID"/>
        </w:rPr>
      </w:pPr>
    </w:p>
    <w:p w:rsidR="001D2978" w:rsidRPr="00703137" w:rsidRDefault="001D2978" w:rsidP="001D2978">
      <w:pPr>
        <w:autoSpaceDE w:val="0"/>
        <w:autoSpaceDN w:val="0"/>
        <w:adjustRightInd w:val="0"/>
        <w:spacing w:after="0" w:line="240" w:lineRule="auto"/>
        <w:jc w:val="both"/>
        <w:rPr>
          <w:rFonts w:ascii="Arial" w:hAnsi="Arial" w:cs="Arial"/>
          <w:sz w:val="24"/>
          <w:szCs w:val="24"/>
          <w:lang w:val="id-ID"/>
        </w:rPr>
      </w:pPr>
      <w:r w:rsidRPr="00703137">
        <w:rPr>
          <w:rFonts w:ascii="Arial" w:hAnsi="Arial" w:cs="Arial"/>
          <w:sz w:val="24"/>
          <w:szCs w:val="24"/>
          <w:lang w:val="id-ID"/>
        </w:rPr>
        <w:t>Agar setiap orang mengetahuinya, memerintahkan pengundangan Peraturan Menteri Pendidikan Nasional ini dengan penempatannya dalam Lembaran Negara Republik Indonesia.</w:t>
      </w:r>
    </w:p>
    <w:p w:rsidR="001D2978" w:rsidRPr="00703137" w:rsidRDefault="001D2978" w:rsidP="001D2978">
      <w:pPr>
        <w:pStyle w:val="Default"/>
        <w:jc w:val="both"/>
        <w:rPr>
          <w:color w:val="auto"/>
          <w:lang w:val="id-ID"/>
        </w:rPr>
      </w:pPr>
    </w:p>
    <w:p w:rsidR="001D2978" w:rsidRPr="00703137" w:rsidRDefault="001D2978" w:rsidP="001D2978">
      <w:pPr>
        <w:pStyle w:val="Default"/>
        <w:jc w:val="both"/>
        <w:rPr>
          <w:color w:val="auto"/>
          <w:lang w:val="id-ID"/>
        </w:rPr>
      </w:pPr>
    </w:p>
    <w:p w:rsidR="001D2978" w:rsidRPr="00703137" w:rsidRDefault="001D2978" w:rsidP="001D2978">
      <w:pPr>
        <w:pStyle w:val="Default"/>
        <w:ind w:firstLine="4860"/>
        <w:jc w:val="both"/>
        <w:rPr>
          <w:color w:val="auto"/>
          <w:lang w:val="id-ID"/>
        </w:rPr>
      </w:pPr>
      <w:r w:rsidRPr="00703137">
        <w:rPr>
          <w:color w:val="auto"/>
          <w:lang w:val="id-ID"/>
        </w:rPr>
        <w:t xml:space="preserve">Ditetapkan di Jakarta </w:t>
      </w:r>
    </w:p>
    <w:p w:rsidR="001D2978" w:rsidRPr="00703137" w:rsidRDefault="001D2978" w:rsidP="001D2978">
      <w:pPr>
        <w:pStyle w:val="Default"/>
        <w:ind w:firstLine="4860"/>
        <w:jc w:val="both"/>
        <w:rPr>
          <w:color w:val="auto"/>
          <w:lang w:val="id-ID"/>
        </w:rPr>
      </w:pPr>
      <w:r w:rsidRPr="00703137">
        <w:rPr>
          <w:color w:val="auto"/>
          <w:lang w:val="id-ID"/>
        </w:rPr>
        <w:t xml:space="preserve">pada tanggal </w:t>
      </w:r>
      <w:r>
        <w:rPr>
          <w:color w:val="auto"/>
          <w:lang w:val="id-ID"/>
        </w:rPr>
        <w:t>19 Mei 2011</w:t>
      </w:r>
    </w:p>
    <w:p w:rsidR="001D2978" w:rsidRPr="00703137" w:rsidRDefault="001D2978" w:rsidP="001D2978">
      <w:pPr>
        <w:pStyle w:val="Default"/>
        <w:ind w:firstLine="4860"/>
        <w:jc w:val="both"/>
        <w:rPr>
          <w:color w:val="auto"/>
          <w:lang w:val="id-ID"/>
        </w:rPr>
      </w:pPr>
    </w:p>
    <w:p w:rsidR="001D2978" w:rsidRPr="00703137" w:rsidRDefault="001D2978" w:rsidP="001D2978">
      <w:pPr>
        <w:pStyle w:val="Default"/>
        <w:ind w:firstLine="4860"/>
        <w:jc w:val="both"/>
        <w:rPr>
          <w:color w:val="auto"/>
          <w:lang w:val="id-ID"/>
        </w:rPr>
      </w:pPr>
      <w:r w:rsidRPr="00703137">
        <w:rPr>
          <w:color w:val="auto"/>
          <w:lang w:val="id-ID"/>
        </w:rPr>
        <w:t xml:space="preserve">MENTERI PENDIDIKAN NASIONAL, </w:t>
      </w:r>
    </w:p>
    <w:p w:rsidR="001D2978" w:rsidRPr="00703137" w:rsidRDefault="001D2978" w:rsidP="001D2978">
      <w:pPr>
        <w:pStyle w:val="Default"/>
        <w:ind w:firstLine="4860"/>
        <w:jc w:val="both"/>
        <w:rPr>
          <w:color w:val="auto"/>
          <w:lang w:val="id-ID"/>
        </w:rPr>
      </w:pPr>
    </w:p>
    <w:p w:rsidR="001D2978" w:rsidRPr="00703137" w:rsidRDefault="001D2978" w:rsidP="001D2978">
      <w:pPr>
        <w:pStyle w:val="Default"/>
        <w:ind w:firstLine="4860"/>
        <w:jc w:val="both"/>
        <w:rPr>
          <w:color w:val="auto"/>
          <w:lang w:val="id-ID"/>
        </w:rPr>
      </w:pPr>
      <w:r>
        <w:rPr>
          <w:color w:val="auto"/>
          <w:lang w:val="id-ID"/>
        </w:rPr>
        <w:t>TTD</w:t>
      </w:r>
    </w:p>
    <w:p w:rsidR="001D2978" w:rsidRPr="00703137" w:rsidRDefault="001D2978" w:rsidP="001D2978">
      <w:pPr>
        <w:pStyle w:val="Default"/>
        <w:ind w:firstLine="4860"/>
        <w:jc w:val="both"/>
        <w:rPr>
          <w:color w:val="auto"/>
          <w:lang w:val="id-ID"/>
        </w:rPr>
      </w:pPr>
    </w:p>
    <w:p w:rsidR="001D2978" w:rsidRPr="00703137" w:rsidRDefault="001D2978" w:rsidP="001D2978">
      <w:pPr>
        <w:pStyle w:val="Default"/>
        <w:ind w:firstLine="4860"/>
        <w:jc w:val="both"/>
        <w:rPr>
          <w:color w:val="auto"/>
          <w:lang w:val="id-ID"/>
        </w:rPr>
      </w:pPr>
      <w:r w:rsidRPr="00703137">
        <w:rPr>
          <w:color w:val="auto"/>
          <w:lang w:val="id-ID"/>
        </w:rPr>
        <w:t>MOHAMMAD NUH</w:t>
      </w:r>
    </w:p>
    <w:p w:rsidR="001D2978" w:rsidRPr="00703137" w:rsidRDefault="001D2978" w:rsidP="001D2978">
      <w:pPr>
        <w:tabs>
          <w:tab w:val="left" w:pos="5040"/>
        </w:tabs>
        <w:autoSpaceDE w:val="0"/>
        <w:autoSpaceDN w:val="0"/>
        <w:adjustRightInd w:val="0"/>
        <w:spacing w:after="0" w:line="240" w:lineRule="auto"/>
        <w:jc w:val="both"/>
        <w:rPr>
          <w:rFonts w:ascii="Arial" w:hAnsi="Arial" w:cs="Arial"/>
          <w:sz w:val="24"/>
          <w:szCs w:val="24"/>
          <w:lang w:val="id-ID"/>
        </w:rPr>
      </w:pPr>
      <w:r w:rsidRPr="00703137">
        <w:rPr>
          <w:rFonts w:ascii="Arial" w:hAnsi="Arial" w:cs="Arial"/>
          <w:sz w:val="24"/>
          <w:szCs w:val="24"/>
          <w:lang w:val="id-ID"/>
        </w:rPr>
        <w:t>Diundangkan di Jakarta</w:t>
      </w:r>
    </w:p>
    <w:p w:rsidR="001D2978" w:rsidRPr="00703137" w:rsidRDefault="001D2978" w:rsidP="001D2978">
      <w:pPr>
        <w:tabs>
          <w:tab w:val="left" w:pos="5040"/>
        </w:tabs>
        <w:autoSpaceDE w:val="0"/>
        <w:autoSpaceDN w:val="0"/>
        <w:adjustRightInd w:val="0"/>
        <w:spacing w:after="0" w:line="240" w:lineRule="auto"/>
        <w:jc w:val="both"/>
        <w:rPr>
          <w:rFonts w:ascii="Arial" w:hAnsi="Arial" w:cs="Arial"/>
          <w:sz w:val="24"/>
          <w:szCs w:val="24"/>
          <w:lang w:val="id-ID"/>
        </w:rPr>
      </w:pPr>
      <w:r w:rsidRPr="00703137">
        <w:rPr>
          <w:rFonts w:ascii="Arial" w:hAnsi="Arial" w:cs="Arial"/>
          <w:sz w:val="24"/>
          <w:szCs w:val="24"/>
          <w:lang w:val="id-ID"/>
        </w:rPr>
        <w:t xml:space="preserve">pada tanggal </w:t>
      </w:r>
      <w:r>
        <w:rPr>
          <w:rFonts w:ascii="Arial" w:hAnsi="Arial" w:cs="Arial"/>
          <w:sz w:val="24"/>
          <w:szCs w:val="24"/>
          <w:lang w:val="id-ID"/>
        </w:rPr>
        <w:t>19 Mei 2011</w:t>
      </w:r>
    </w:p>
    <w:p w:rsidR="001D2978" w:rsidRPr="00703137" w:rsidRDefault="001D2978" w:rsidP="001D2978">
      <w:pPr>
        <w:tabs>
          <w:tab w:val="left" w:pos="5040"/>
        </w:tabs>
        <w:autoSpaceDE w:val="0"/>
        <w:autoSpaceDN w:val="0"/>
        <w:adjustRightInd w:val="0"/>
        <w:spacing w:after="0" w:line="240" w:lineRule="auto"/>
        <w:jc w:val="both"/>
        <w:rPr>
          <w:rFonts w:ascii="Arial" w:hAnsi="Arial" w:cs="Arial"/>
          <w:sz w:val="24"/>
          <w:szCs w:val="24"/>
          <w:lang w:val="id-ID"/>
        </w:rPr>
      </w:pPr>
    </w:p>
    <w:p w:rsidR="001D2978" w:rsidRPr="00703137" w:rsidRDefault="001D2978" w:rsidP="001D2978">
      <w:pPr>
        <w:autoSpaceDE w:val="0"/>
        <w:autoSpaceDN w:val="0"/>
        <w:adjustRightInd w:val="0"/>
        <w:spacing w:after="0" w:line="240" w:lineRule="auto"/>
        <w:jc w:val="both"/>
        <w:rPr>
          <w:rFonts w:ascii="Arial" w:hAnsi="Arial" w:cs="Arial"/>
          <w:sz w:val="24"/>
          <w:szCs w:val="24"/>
          <w:lang w:val="id-ID"/>
        </w:rPr>
      </w:pPr>
      <w:r w:rsidRPr="00703137">
        <w:rPr>
          <w:rFonts w:ascii="Arial" w:hAnsi="Arial" w:cs="Arial"/>
          <w:sz w:val="24"/>
          <w:szCs w:val="24"/>
          <w:lang w:val="id-ID"/>
        </w:rPr>
        <w:t xml:space="preserve">MENTERI HUKUM DAN HAK ASASI MANUSIA </w:t>
      </w:r>
    </w:p>
    <w:p w:rsidR="001D2978" w:rsidRPr="00703137" w:rsidRDefault="001D2978" w:rsidP="001D2978">
      <w:pPr>
        <w:autoSpaceDE w:val="0"/>
        <w:autoSpaceDN w:val="0"/>
        <w:adjustRightInd w:val="0"/>
        <w:spacing w:after="0" w:line="240" w:lineRule="auto"/>
        <w:jc w:val="both"/>
        <w:rPr>
          <w:rFonts w:ascii="Arial" w:hAnsi="Arial" w:cs="Arial"/>
          <w:sz w:val="24"/>
          <w:szCs w:val="24"/>
          <w:lang w:val="id-ID"/>
        </w:rPr>
      </w:pPr>
      <w:r w:rsidRPr="00703137">
        <w:rPr>
          <w:rFonts w:ascii="Arial" w:hAnsi="Arial" w:cs="Arial"/>
          <w:sz w:val="24"/>
          <w:szCs w:val="24"/>
          <w:lang w:val="id-ID"/>
        </w:rPr>
        <w:t>REPUBLIK INDONESIA,</w:t>
      </w:r>
    </w:p>
    <w:p w:rsidR="001D2978" w:rsidRPr="00703137" w:rsidRDefault="001D2978" w:rsidP="001D2978">
      <w:pPr>
        <w:tabs>
          <w:tab w:val="left" w:pos="5040"/>
        </w:tabs>
        <w:autoSpaceDE w:val="0"/>
        <w:autoSpaceDN w:val="0"/>
        <w:adjustRightInd w:val="0"/>
        <w:spacing w:after="0" w:line="240" w:lineRule="auto"/>
        <w:jc w:val="both"/>
        <w:rPr>
          <w:rFonts w:ascii="Arial" w:hAnsi="Arial" w:cs="Arial"/>
          <w:sz w:val="24"/>
          <w:szCs w:val="24"/>
          <w:lang w:val="id-ID"/>
        </w:rPr>
      </w:pPr>
    </w:p>
    <w:p w:rsidR="001D2978" w:rsidRPr="00703137" w:rsidRDefault="001D2978" w:rsidP="001D2978">
      <w:pPr>
        <w:tabs>
          <w:tab w:val="left" w:pos="5040"/>
        </w:tabs>
        <w:autoSpaceDE w:val="0"/>
        <w:autoSpaceDN w:val="0"/>
        <w:adjustRightInd w:val="0"/>
        <w:spacing w:after="0" w:line="240" w:lineRule="auto"/>
        <w:jc w:val="both"/>
        <w:rPr>
          <w:rFonts w:ascii="Arial" w:hAnsi="Arial" w:cs="Arial"/>
          <w:sz w:val="24"/>
          <w:szCs w:val="24"/>
          <w:lang w:val="id-ID"/>
        </w:rPr>
      </w:pPr>
      <w:r>
        <w:rPr>
          <w:rFonts w:ascii="Arial" w:hAnsi="Arial" w:cs="Arial"/>
          <w:sz w:val="24"/>
          <w:szCs w:val="24"/>
          <w:lang w:val="id-ID"/>
        </w:rPr>
        <w:t>TTD</w:t>
      </w:r>
    </w:p>
    <w:p w:rsidR="001D2978" w:rsidRPr="00703137" w:rsidRDefault="001D2978" w:rsidP="001D2978">
      <w:pPr>
        <w:tabs>
          <w:tab w:val="left" w:pos="5040"/>
        </w:tabs>
        <w:autoSpaceDE w:val="0"/>
        <w:autoSpaceDN w:val="0"/>
        <w:adjustRightInd w:val="0"/>
        <w:spacing w:after="0" w:line="240" w:lineRule="auto"/>
        <w:jc w:val="both"/>
        <w:rPr>
          <w:rFonts w:ascii="Arial" w:hAnsi="Arial" w:cs="Arial"/>
          <w:sz w:val="24"/>
          <w:szCs w:val="24"/>
          <w:lang w:val="id-ID"/>
        </w:rPr>
      </w:pPr>
    </w:p>
    <w:p w:rsidR="001D2978" w:rsidRPr="00703137" w:rsidRDefault="001D2978" w:rsidP="001D2978">
      <w:pPr>
        <w:tabs>
          <w:tab w:val="left" w:pos="5040"/>
        </w:tabs>
        <w:autoSpaceDE w:val="0"/>
        <w:autoSpaceDN w:val="0"/>
        <w:adjustRightInd w:val="0"/>
        <w:spacing w:after="0" w:line="240" w:lineRule="auto"/>
        <w:jc w:val="both"/>
        <w:rPr>
          <w:rFonts w:ascii="Arial" w:hAnsi="Arial" w:cs="Arial"/>
          <w:sz w:val="24"/>
          <w:szCs w:val="24"/>
          <w:lang w:val="id-ID"/>
        </w:rPr>
      </w:pPr>
      <w:r w:rsidRPr="00703137">
        <w:rPr>
          <w:rFonts w:ascii="Arial" w:hAnsi="Arial" w:cs="Arial"/>
          <w:sz w:val="24"/>
          <w:szCs w:val="24"/>
          <w:lang w:val="id-ID"/>
        </w:rPr>
        <w:t>PATRIALIS AKBAR</w:t>
      </w:r>
    </w:p>
    <w:p w:rsidR="001D2978" w:rsidRPr="00703137" w:rsidRDefault="001D2978" w:rsidP="001D2978">
      <w:pPr>
        <w:pStyle w:val="Default"/>
        <w:jc w:val="both"/>
        <w:rPr>
          <w:color w:val="auto"/>
          <w:lang w:val="id-ID"/>
        </w:rPr>
      </w:pPr>
    </w:p>
    <w:p w:rsidR="001D2978" w:rsidRDefault="001D2978" w:rsidP="001D2978">
      <w:pPr>
        <w:pStyle w:val="Default"/>
        <w:jc w:val="both"/>
        <w:rPr>
          <w:color w:val="auto"/>
          <w:lang w:val="id-ID"/>
        </w:rPr>
      </w:pPr>
      <w:r>
        <w:rPr>
          <w:color w:val="auto"/>
          <w:lang w:val="id-ID"/>
        </w:rPr>
        <w:t>BERITA</w:t>
      </w:r>
      <w:r w:rsidRPr="00703137">
        <w:rPr>
          <w:color w:val="auto"/>
          <w:lang w:val="id-ID"/>
        </w:rPr>
        <w:t xml:space="preserve"> NEGARA REPUBLIK INDONESIA TAHUN 2011 NOMOR </w:t>
      </w:r>
      <w:r>
        <w:rPr>
          <w:color w:val="auto"/>
          <w:lang w:val="id-ID"/>
        </w:rPr>
        <w:t>297</w:t>
      </w:r>
    </w:p>
    <w:p w:rsidR="001D2978" w:rsidRDefault="001D2978" w:rsidP="001D2978">
      <w:pPr>
        <w:pStyle w:val="Default"/>
        <w:jc w:val="both"/>
        <w:rPr>
          <w:color w:val="auto"/>
          <w:lang w:val="id-ID"/>
        </w:rPr>
      </w:pPr>
    </w:p>
    <w:p w:rsidR="001D2978" w:rsidRDefault="001D2978" w:rsidP="001D2978">
      <w:pPr>
        <w:pStyle w:val="Default"/>
        <w:jc w:val="both"/>
        <w:rPr>
          <w:color w:val="auto"/>
          <w:lang w:val="id-ID"/>
        </w:rPr>
      </w:pPr>
      <w:r>
        <w:rPr>
          <w:color w:val="auto"/>
          <w:lang w:val="id-ID"/>
        </w:rPr>
        <w:t>Salinan sesuai dengan aslinya.</w:t>
      </w:r>
    </w:p>
    <w:p w:rsidR="001D2978" w:rsidRDefault="001D2978" w:rsidP="001D2978">
      <w:pPr>
        <w:pStyle w:val="Default"/>
        <w:jc w:val="both"/>
        <w:rPr>
          <w:color w:val="auto"/>
          <w:lang w:val="id-ID"/>
        </w:rPr>
      </w:pPr>
      <w:r>
        <w:rPr>
          <w:color w:val="auto"/>
          <w:lang w:val="id-ID"/>
        </w:rPr>
        <w:t>Kepala Biro Hukum dan Organisasi</w:t>
      </w:r>
    </w:p>
    <w:p w:rsidR="001D2978" w:rsidRDefault="001D2978" w:rsidP="001D2978">
      <w:pPr>
        <w:pStyle w:val="Default"/>
        <w:jc w:val="both"/>
        <w:rPr>
          <w:color w:val="auto"/>
          <w:lang w:val="id-ID"/>
        </w:rPr>
      </w:pPr>
      <w:r>
        <w:rPr>
          <w:color w:val="auto"/>
          <w:lang w:val="id-ID"/>
        </w:rPr>
        <w:t>Kementerian Pendidikan Nasional,</w:t>
      </w:r>
    </w:p>
    <w:p w:rsidR="001D2978" w:rsidRDefault="001D2978" w:rsidP="001D2978">
      <w:pPr>
        <w:pStyle w:val="Default"/>
        <w:jc w:val="both"/>
        <w:rPr>
          <w:color w:val="auto"/>
          <w:lang w:val="id-ID"/>
        </w:rPr>
      </w:pPr>
    </w:p>
    <w:p w:rsidR="001D2978" w:rsidRDefault="001D2978" w:rsidP="001D2978">
      <w:pPr>
        <w:pStyle w:val="Default"/>
        <w:jc w:val="both"/>
        <w:rPr>
          <w:color w:val="auto"/>
          <w:lang w:val="id-ID"/>
        </w:rPr>
      </w:pPr>
    </w:p>
    <w:p w:rsidR="001D2978" w:rsidRDefault="001D2978" w:rsidP="001D2978">
      <w:pPr>
        <w:pStyle w:val="Default"/>
        <w:jc w:val="both"/>
        <w:rPr>
          <w:color w:val="auto"/>
          <w:lang w:val="id-ID"/>
        </w:rPr>
      </w:pPr>
    </w:p>
    <w:p w:rsidR="001D2978" w:rsidRDefault="001D2978" w:rsidP="001D2978">
      <w:pPr>
        <w:pStyle w:val="Default"/>
        <w:jc w:val="both"/>
        <w:rPr>
          <w:color w:val="auto"/>
          <w:lang w:val="id-ID"/>
        </w:rPr>
      </w:pPr>
    </w:p>
    <w:p w:rsidR="001D2978" w:rsidRDefault="001D2978" w:rsidP="001D2978">
      <w:pPr>
        <w:pStyle w:val="Default"/>
        <w:jc w:val="both"/>
        <w:rPr>
          <w:color w:val="auto"/>
          <w:lang w:val="id-ID"/>
        </w:rPr>
      </w:pPr>
      <w:r>
        <w:rPr>
          <w:color w:val="auto"/>
          <w:lang w:val="id-ID"/>
        </w:rPr>
        <w:t>Dr. A. Pangerang Moenta, S.H., M.H., DFM.</w:t>
      </w:r>
    </w:p>
    <w:p w:rsidR="00ED5E49" w:rsidRPr="001D2978" w:rsidRDefault="001D2978" w:rsidP="001D2978">
      <w:pPr>
        <w:pStyle w:val="Default"/>
        <w:jc w:val="both"/>
        <w:rPr>
          <w:color w:val="auto"/>
          <w:lang w:val="id-ID"/>
        </w:rPr>
      </w:pPr>
      <w:r>
        <w:rPr>
          <w:color w:val="auto"/>
          <w:lang w:val="id-ID"/>
        </w:rPr>
        <w:t xml:space="preserve">NIP </w:t>
      </w:r>
      <w:r w:rsidRPr="00A074B0">
        <w:rPr>
          <w:lang w:val="id-ID"/>
        </w:rPr>
        <w:t>19610828 198703 1 003</w:t>
      </w:r>
    </w:p>
    <w:sectPr w:rsidR="00ED5E49" w:rsidRPr="001D2978"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DF" w:rsidRDefault="00E529DF" w:rsidP="00823279">
      <w:pPr>
        <w:spacing w:after="0" w:line="240" w:lineRule="auto"/>
      </w:pPr>
      <w:r>
        <w:separator/>
      </w:r>
    </w:p>
  </w:endnote>
  <w:endnote w:type="continuationSeparator" w:id="0">
    <w:p w:rsidR="00E529DF" w:rsidRDefault="00E529DF"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5" w:rsidRDefault="008F7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1D2978"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E529DF" w:rsidP="00823279">
                          <w:pPr>
                            <w:tabs>
                              <w:tab w:val="right" w:pos="14742"/>
                            </w:tabs>
                            <w:rPr>
                              <w:rFonts w:ascii="Cambria" w:hAnsi="Cambria"/>
                              <w:i/>
                              <w:iCs/>
                              <w:sz w:val="20"/>
                            </w:rPr>
                          </w:pPr>
                          <w:r>
                            <w:fldChar w:fldCharType="begin"/>
                          </w:r>
                          <w:r>
                            <w:instrText xml:space="preserve"> FILENAME \p  \* MERGEFORMAT </w:instrText>
                          </w:r>
                          <w:r>
                            <w:fldChar w:fldCharType="separate"/>
                          </w:r>
                          <w:r w:rsidR="008F7CE5" w:rsidRPr="008F7CE5">
                            <w:rPr>
                              <w:rFonts w:ascii="Cambria" w:hAnsi="Cambria"/>
                              <w:i/>
                              <w:iCs/>
                              <w:noProof/>
                              <w:sz w:val="20"/>
                            </w:rPr>
                            <w:t>D:\My Documents</w:t>
                          </w:r>
                          <w:r w:rsidR="008F7CE5" w:rsidRPr="008F7CE5">
                            <w:rPr>
                              <w:rFonts w:ascii="Cambria" w:hAnsi="Cambria"/>
                              <w:i/>
                              <w:noProof/>
                              <w:sz w:val="20"/>
                            </w:rPr>
                            <w:t>\luk.tsipil.ugm.ac.id\atur\Permen20-2011ProdiDiluarDomisili.docx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8F7CE5" w:rsidRPr="008F7CE5">
                            <w:rPr>
                              <w:rFonts w:ascii="Cambria" w:hAnsi="Cambria"/>
                              <w:i/>
                              <w:iCs/>
                              <w:noProof/>
                              <w:sz w:val="20"/>
                            </w:rPr>
                            <w:t>58</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8F7CE5">
                            <w:rPr>
                              <w:rFonts w:ascii="Cambria" w:hAnsi="Cambria"/>
                              <w:i/>
                              <w:iCs/>
                              <w:noProof/>
                              <w:sz w:val="20"/>
                            </w:rPr>
                            <w:t>Sunday, 19 June 2011</w:t>
                          </w:r>
                          <w:r w:rsidR="00807DE0">
                            <w:rPr>
                              <w:rFonts w:ascii="Cambria" w:hAnsi="Cambria"/>
                              <w:i/>
                              <w:iCs/>
                              <w:sz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E529DF" w:rsidP="00823279">
                    <w:pPr>
                      <w:tabs>
                        <w:tab w:val="right" w:pos="14742"/>
                      </w:tabs>
                      <w:rPr>
                        <w:rFonts w:ascii="Cambria" w:hAnsi="Cambria"/>
                        <w:i/>
                        <w:iCs/>
                        <w:sz w:val="20"/>
                      </w:rPr>
                    </w:pPr>
                    <w:r>
                      <w:fldChar w:fldCharType="begin"/>
                    </w:r>
                    <w:r>
                      <w:instrText xml:space="preserve"> FILENAME \p  \* MERGEFORMAT </w:instrText>
                    </w:r>
                    <w:r>
                      <w:fldChar w:fldCharType="separate"/>
                    </w:r>
                    <w:r w:rsidR="008F7CE5" w:rsidRPr="008F7CE5">
                      <w:rPr>
                        <w:rFonts w:ascii="Cambria" w:hAnsi="Cambria"/>
                        <w:i/>
                        <w:iCs/>
                        <w:noProof/>
                        <w:sz w:val="20"/>
                      </w:rPr>
                      <w:t>D:\My Documents</w:t>
                    </w:r>
                    <w:r w:rsidR="008F7CE5" w:rsidRPr="008F7CE5">
                      <w:rPr>
                        <w:rFonts w:ascii="Cambria" w:hAnsi="Cambria"/>
                        <w:i/>
                        <w:noProof/>
                        <w:sz w:val="20"/>
                      </w:rPr>
                      <w:t>\luk.tsipil.ugm.ac.id\atur\Permen20-2011ProdiDiluarDomisili.docx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8F7CE5" w:rsidRPr="008F7CE5">
                      <w:rPr>
                        <w:rFonts w:ascii="Cambria" w:hAnsi="Cambria"/>
                        <w:i/>
                        <w:iCs/>
                        <w:noProof/>
                        <w:sz w:val="20"/>
                      </w:rPr>
                      <w:t>58</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8F7CE5">
                      <w:rPr>
                        <w:rFonts w:ascii="Cambria" w:hAnsi="Cambria"/>
                        <w:i/>
                        <w:iCs/>
                        <w:noProof/>
                        <w:sz w:val="20"/>
                      </w:rPr>
                      <w:t>Sunday, 19 June 2011</w:t>
                    </w:r>
                    <w:r w:rsidR="00807DE0">
                      <w:rPr>
                        <w:rFonts w:ascii="Cambria" w:hAnsi="Cambria"/>
                        <w:i/>
                        <w:iCs/>
                        <w:sz w:val="20"/>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E529DF">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5" w:rsidRDefault="008F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DF" w:rsidRDefault="00E529DF" w:rsidP="00823279">
      <w:pPr>
        <w:spacing w:after="0" w:line="240" w:lineRule="auto"/>
      </w:pPr>
      <w:r>
        <w:separator/>
      </w:r>
    </w:p>
  </w:footnote>
  <w:footnote w:type="continuationSeparator" w:id="0">
    <w:p w:rsidR="00E529DF" w:rsidRDefault="00E529DF"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5" w:rsidRDefault="008F7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5" w:rsidRDefault="008F7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5" w:rsidRDefault="008F7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7156636"/>
    <w:multiLevelType w:val="hybridMultilevel"/>
    <w:tmpl w:val="DE46E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0F98608C"/>
    <w:multiLevelType w:val="hybridMultilevel"/>
    <w:tmpl w:val="9BB85316"/>
    <w:lvl w:ilvl="0" w:tplc="5658D3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765B90"/>
    <w:multiLevelType w:val="hybridMultilevel"/>
    <w:tmpl w:val="D2A20946"/>
    <w:lvl w:ilvl="0" w:tplc="1402E326">
      <w:start w:val="1"/>
      <w:numFmt w:val="low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nsid w:val="18925906"/>
    <w:multiLevelType w:val="hybridMultilevel"/>
    <w:tmpl w:val="1BCE23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8">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9">
    <w:nsid w:val="1FC90848"/>
    <w:multiLevelType w:val="hybridMultilevel"/>
    <w:tmpl w:val="D2B8720A"/>
    <w:lvl w:ilvl="0" w:tplc="04090017">
      <w:start w:val="1"/>
      <w:numFmt w:val="lowerLetter"/>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0">
    <w:nsid w:val="2A3146C8"/>
    <w:multiLevelType w:val="singleLevel"/>
    <w:tmpl w:val="DA44F414"/>
    <w:lvl w:ilvl="0">
      <w:start w:val="1"/>
      <w:numFmt w:val="decimal"/>
      <w:lvlText w:val="%1."/>
      <w:legacy w:legacy="1" w:legacySpace="0" w:legacyIndent="283"/>
      <w:lvlJc w:val="left"/>
      <w:pPr>
        <w:ind w:left="1435" w:hanging="283"/>
      </w:pPr>
    </w:lvl>
  </w:abstractNum>
  <w:abstractNum w:abstractNumId="11">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2">
    <w:nsid w:val="310D6D18"/>
    <w:multiLevelType w:val="singleLevel"/>
    <w:tmpl w:val="DA44F414"/>
    <w:lvl w:ilvl="0">
      <w:start w:val="1"/>
      <w:numFmt w:val="decimal"/>
      <w:lvlText w:val="%1."/>
      <w:legacy w:legacy="1" w:legacySpace="0" w:legacyIndent="283"/>
      <w:lvlJc w:val="left"/>
      <w:pPr>
        <w:ind w:left="1435" w:hanging="283"/>
      </w:pPr>
    </w:lvl>
  </w:abstractNum>
  <w:abstractNum w:abstractNumId="13">
    <w:nsid w:val="34ED2110"/>
    <w:multiLevelType w:val="singleLevel"/>
    <w:tmpl w:val="DA44F414"/>
    <w:lvl w:ilvl="0">
      <w:start w:val="1"/>
      <w:numFmt w:val="decimal"/>
      <w:lvlText w:val="%1."/>
      <w:legacy w:legacy="1" w:legacySpace="0" w:legacyIndent="283"/>
      <w:lvlJc w:val="left"/>
      <w:pPr>
        <w:ind w:left="1435" w:hanging="283"/>
      </w:pPr>
    </w:lvl>
  </w:abstractNum>
  <w:abstractNum w:abstractNumId="14">
    <w:nsid w:val="377F46EF"/>
    <w:multiLevelType w:val="hybridMultilevel"/>
    <w:tmpl w:val="4776F912"/>
    <w:lvl w:ilvl="0" w:tplc="BE2A08FA">
      <w:start w:val="1"/>
      <w:numFmt w:val="decimal"/>
      <w:lvlText w:val="%1."/>
      <w:lvlJc w:val="left"/>
      <w:pPr>
        <w:tabs>
          <w:tab w:val="num" w:pos="360"/>
        </w:tabs>
        <w:ind w:left="1080" w:hanging="360"/>
      </w:pPr>
      <w:rPr>
        <w:rFonts w:cs="Times New Roman" w:hint="default"/>
      </w:rPr>
    </w:lvl>
    <w:lvl w:ilvl="1" w:tplc="A406244A">
      <w:start w:val="1"/>
      <w:numFmt w:val="lowerLetter"/>
      <w:lvlText w:val="%2)"/>
      <w:lvlJc w:val="left"/>
      <w:pPr>
        <w:tabs>
          <w:tab w:val="num" w:pos="1800"/>
        </w:tabs>
        <w:ind w:left="1800" w:hanging="360"/>
      </w:pPr>
      <w:rPr>
        <w:rFonts w:hint="default"/>
        <w:b w:val="0"/>
        <w:color w:val="auto"/>
      </w:rPr>
    </w:lvl>
    <w:lvl w:ilvl="2" w:tplc="9230B216">
      <w:start w:val="1"/>
      <w:numFmt w:val="decimal"/>
      <w:lvlText w:val="(%3)"/>
      <w:lvlJc w:val="left"/>
      <w:pPr>
        <w:ind w:left="2700" w:hanging="360"/>
      </w:pPr>
      <w:rPr>
        <w:rFonts w:hint="default"/>
      </w:rPr>
    </w:lvl>
    <w:lvl w:ilvl="3" w:tplc="A9280EB0">
      <w:start w:val="1"/>
      <w:numFmt w:val="lowerLetter"/>
      <w:lvlText w:val="%4."/>
      <w:lvlJc w:val="left"/>
      <w:pPr>
        <w:ind w:left="3240" w:hanging="360"/>
      </w:pPr>
      <w:rPr>
        <w:rFonts w:hint="default"/>
        <w:color w:val="000000"/>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6">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7">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8">
    <w:nsid w:val="417D0C96"/>
    <w:multiLevelType w:val="hybridMultilevel"/>
    <w:tmpl w:val="2EE8F4FE"/>
    <w:lvl w:ilvl="0" w:tplc="2EEA329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20630"/>
    <w:multiLevelType w:val="singleLevel"/>
    <w:tmpl w:val="7E0ADF0A"/>
    <w:lvl w:ilvl="0">
      <w:start w:val="2"/>
      <w:numFmt w:val="decimal"/>
      <w:lvlText w:val="%1."/>
      <w:legacy w:legacy="1" w:legacySpace="0" w:legacyIndent="283"/>
      <w:lvlJc w:val="left"/>
      <w:pPr>
        <w:ind w:left="1435" w:hanging="283"/>
      </w:pPr>
    </w:lvl>
  </w:abstractNum>
  <w:abstractNum w:abstractNumId="20">
    <w:nsid w:val="54546361"/>
    <w:multiLevelType w:val="hybridMultilevel"/>
    <w:tmpl w:val="78B8BAE2"/>
    <w:lvl w:ilvl="0" w:tplc="D626EF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654046"/>
    <w:multiLevelType w:val="singleLevel"/>
    <w:tmpl w:val="DA44F414"/>
    <w:lvl w:ilvl="0">
      <w:start w:val="5"/>
      <w:numFmt w:val="decimal"/>
      <w:lvlText w:val="%1."/>
      <w:legacy w:legacy="1" w:legacySpace="0" w:legacyIndent="283"/>
      <w:lvlJc w:val="left"/>
      <w:pPr>
        <w:ind w:left="1435" w:hanging="283"/>
      </w:pPr>
    </w:lvl>
  </w:abstractNum>
  <w:abstractNum w:abstractNumId="22">
    <w:nsid w:val="73AA1C7A"/>
    <w:multiLevelType w:val="hybridMultilevel"/>
    <w:tmpl w:val="3B64D0B2"/>
    <w:lvl w:ilvl="0" w:tplc="1402E3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24">
    <w:nsid w:val="7EE62327"/>
    <w:multiLevelType w:val="hybridMultilevel"/>
    <w:tmpl w:val="A6A23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1"/>
  </w:num>
  <w:num w:numId="4">
    <w:abstractNumId w:val="3"/>
  </w:num>
  <w:num w:numId="5">
    <w:abstractNumId w:val="16"/>
  </w:num>
  <w:num w:numId="6">
    <w:abstractNumId w:val="12"/>
  </w:num>
  <w:num w:numId="7">
    <w:abstractNumId w:val="1"/>
  </w:num>
  <w:num w:numId="8">
    <w:abstractNumId w:val="19"/>
  </w:num>
  <w:num w:numId="9">
    <w:abstractNumId w:val="15"/>
  </w:num>
  <w:num w:numId="10">
    <w:abstractNumId w:val="7"/>
  </w:num>
  <w:num w:numId="11">
    <w:abstractNumId w:val="13"/>
  </w:num>
  <w:num w:numId="12">
    <w:abstractNumId w:val="23"/>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1"/>
  </w:num>
  <w:num w:numId="15">
    <w:abstractNumId w:val="17"/>
  </w:num>
  <w:num w:numId="16">
    <w:abstractNumId w:val="6"/>
  </w:num>
  <w:num w:numId="17">
    <w:abstractNumId w:val="4"/>
  </w:num>
  <w:num w:numId="18">
    <w:abstractNumId w:val="22"/>
  </w:num>
  <w:num w:numId="19">
    <w:abstractNumId w:val="20"/>
  </w:num>
  <w:num w:numId="20">
    <w:abstractNumId w:val="5"/>
  </w:num>
  <w:num w:numId="21">
    <w:abstractNumId w:val="9"/>
  </w:num>
  <w:num w:numId="22">
    <w:abstractNumId w:val="2"/>
  </w:num>
  <w:num w:numId="23">
    <w:abstractNumId w:val="24"/>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2978"/>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8F7CE5"/>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29DF"/>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7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customStyle="1" w:styleId="Default">
    <w:name w:val="Default"/>
    <w:rsid w:val="001D297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D2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7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customStyle="1" w:styleId="Default">
    <w:name w:val="Default"/>
    <w:rsid w:val="001D297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D2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2011-06-19T03:04:00Z</dcterms:created>
  <dcterms:modified xsi:type="dcterms:W3CDTF">2011-06-19T03:04:00Z</dcterms:modified>
  <cp:category>Produk Hukum</cp:category>
</cp:coreProperties>
</file>